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A3FC769" Type="http://schemas.openxmlformats.org/officeDocument/2006/relationships/officeDocument" Target="/word/document.xml" /><Relationship Id="coreR1A3FC76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6c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kwalifikacji dorosłych do leczenia żywieniowego</w:t>
      </w:r>
    </w:p>
    <w:tbl>
      <w:tblPr>
        <w:tblW w:w="10350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60"/>
        </w:trPr>
        <w:tc>
          <w:tcPr>
            <w:tcW w:w="471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Nazwisko i imię pacjenta: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PESEL:</w:t>
            </w:r>
          </w:p>
        </w:tc>
        <w:tc>
          <w:tcPr>
            <w:tcW w:w="29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Wiek: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05"/>
        </w:trPr>
        <w:tc>
          <w:tcPr>
            <w:tcW w:w="1035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Data badania: dzień: …… miesiąc: ……… rok: 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570"/>
        </w:trPr>
        <w:tc>
          <w:tcPr>
            <w:tcW w:w="1035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Rozpoznanie (wg ICD – 10):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18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Przesiewowa ocena stanu odżywienia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NRS lub SGA</w:t>
            </w:r>
          </w:p>
        </w:tc>
        <w:tc>
          <w:tcPr>
            <w:tcW w:w="29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982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Szczegółowa ocena stanu odżywienia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58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Utrata masy ciała w ciągu ostatnich 3 miesięcy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 xml:space="preserve">powyżej 10% masy ciała wyjściowej </w:t>
            </w:r>
          </w:p>
        </w:tc>
        <w:tc>
          <w:tcPr>
            <w:tcW w:w="29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 xml:space="preserve">poniżej 10% masy wyjściowej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58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Białko całkowite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 xml:space="preserve">poniżej normy </w:t>
            </w:r>
          </w:p>
        </w:tc>
        <w:tc>
          <w:tcPr>
            <w:tcW w:w="29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 xml:space="preserve">norma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58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Albumina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 xml:space="preserve">poniżej normy </w:t>
            </w:r>
          </w:p>
        </w:tc>
        <w:tc>
          <w:tcPr>
            <w:tcW w:w="29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 xml:space="preserve">norma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58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Cholesterol całkowity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 xml:space="preserve">poniżej normy </w:t>
            </w:r>
          </w:p>
        </w:tc>
        <w:tc>
          <w:tcPr>
            <w:tcW w:w="29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 xml:space="preserve">norma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58"/>
        </w:trPr>
        <w:tc>
          <w:tcPr>
            <w:tcW w:w="471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Możliwe skuteczne odżywianie doustne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>nie</w:t>
            </w:r>
          </w:p>
        </w:tc>
        <w:tc>
          <w:tcPr>
            <w:tcW w:w="29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żywieniowe dojelitowe wypełnić pkt. 3, 4, 7 – 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58"/>
        </w:trPr>
        <w:tc>
          <w:tcPr>
            <w:tcW w:w="471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Możliwe skuteczne żywienie drogą przewodu pokarmowego</w:t>
            </w:r>
          </w:p>
        </w:tc>
        <w:tc>
          <w:tcPr>
            <w:tcW w:w="27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>nie</w:t>
            </w:r>
          </w:p>
        </w:tc>
        <w:tc>
          <w:tcPr>
            <w:tcW w:w="29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żywieniowe pozajelitowe wypełnić pkt. 5 – 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</w:t>
            </w:r>
          </w:p>
        </w:tc>
        <w:tc>
          <w:tcPr>
            <w:tcW w:w="22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Wskazania do leczenia żywieniowego dojelitowego</w:t>
            </w:r>
          </w:p>
        </w:tc>
        <w:tc>
          <w:tcPr>
            <w:tcW w:w="75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>dysfagia</w:t>
            </w:r>
          </w:p>
          <w:p>
            <w:pPr>
              <w:jc w:val="left"/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>niedrożność górnej części przewodu pokarmowego</w:t>
            </w:r>
          </w:p>
          <w:p>
            <w:pPr>
              <w:jc w:val="left"/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>śpiączka niemetaboliczna</w:t>
            </w:r>
          </w:p>
          <w:p>
            <w:pPr>
              <w:jc w:val="left"/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>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4. </w:t>
            </w:r>
          </w:p>
        </w:tc>
        <w:tc>
          <w:tcPr>
            <w:tcW w:w="22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Dostęp dojelitowy</w:t>
            </w:r>
          </w:p>
        </w:tc>
        <w:tc>
          <w:tcPr>
            <w:tcW w:w="75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 xml:space="preserve">zgłębnik: nosowo – żołądkowy, </w:t>
            </w: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 xml:space="preserve">nosowo – dwunastniczy, </w:t>
            </w: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nosowo – jelitowy</w:t>
            </w:r>
          </w:p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gastrostomia ………………………………………….………..</w:t>
              <w:br w:type="textWrapping"/>
            </w: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jejunostomia ……………………………………………..…….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</w:t>
            </w:r>
          </w:p>
        </w:tc>
        <w:tc>
          <w:tcPr>
            <w:tcW w:w="22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Wskazania do leczenia żywieniowego pozajelitowego</w:t>
            </w:r>
          </w:p>
        </w:tc>
        <w:tc>
          <w:tcPr>
            <w:tcW w:w="75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>niedożywienie</w:t>
            </w:r>
          </w:p>
          <w:p>
            <w:pPr>
              <w:jc w:val="left"/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>okres okołooperacyjny u dorosłych</w:t>
            </w:r>
          </w:p>
          <w:p>
            <w:pPr>
              <w:jc w:val="left"/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>wyniszczenie (BMI &lt;17 )</w:t>
            </w:r>
          </w:p>
          <w:p>
            <w:pPr>
              <w:jc w:val="left"/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>niedożywienie (BMI 17-19) bez możliwości wykorzystania przewodu pok. &gt; 5 dni</w:t>
            </w:r>
          </w:p>
          <w:p>
            <w:pPr>
              <w:jc w:val="left"/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>BMI ≥ 19 bez możliwości wykorzystania przewodu pok. &gt; 7 dni</w:t>
            </w:r>
          </w:p>
          <w:p>
            <w:pPr>
              <w:jc w:val="left"/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>powikłania pooperacyjne bez możliwości skutecznego odżywiania doustnego</w:t>
            </w:r>
          </w:p>
          <w:p>
            <w:pPr>
              <w:jc w:val="left"/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>reoperacja w okresie 30 dni po poprzedniej operacji</w:t>
            </w:r>
          </w:p>
          <w:p>
            <w:pPr>
              <w:jc w:val="left"/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>niewydolność przewodu pokarmowego ostra lub przewlekła</w:t>
            </w:r>
          </w:p>
          <w:p>
            <w:pPr>
              <w:jc w:val="left"/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 xml:space="preserve">inne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6. </w:t>
            </w:r>
          </w:p>
        </w:tc>
        <w:tc>
          <w:tcPr>
            <w:tcW w:w="22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Dostęp pozajelitowy</w:t>
            </w:r>
          </w:p>
        </w:tc>
        <w:tc>
          <w:tcPr>
            <w:tcW w:w="75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 xml:space="preserve">żyły obwodowe, </w:t>
            </w: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 xml:space="preserve">PICC, </w:t>
            </w: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żyła centralna</w:t>
              <w:br w:type="textWrapping"/>
            </w: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 xml:space="preserve">cewnik nietunelizowany, </w:t>
            </w: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port</w:t>
              <w:br w:type="textWrapping"/>
            </w: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cewnik permanentny, typ cewnika …….……………………………………………….….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7.</w:t>
            </w:r>
          </w:p>
        </w:tc>
        <w:tc>
          <w:tcPr>
            <w:tcW w:w="22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Cel leczenia żywieniowego:</w:t>
            </w:r>
          </w:p>
        </w:tc>
        <w:tc>
          <w:tcPr>
            <w:tcW w:w="75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 xml:space="preserve">utrzymanie stanu odżywienia, </w:t>
            </w: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poprawa stanu odżywienia,</w:t>
              <w:br w:type="textWrapping"/>
            </w: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leczenie choroby podstawowej lub jej powikłań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8.</w:t>
            </w:r>
          </w:p>
        </w:tc>
        <w:tc>
          <w:tcPr>
            <w:tcW w:w="22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Ocena ryzyka powikłań metabolicznych lub zespół ponownego odżywienia :</w:t>
            </w:r>
          </w:p>
        </w:tc>
        <w:tc>
          <w:tcPr>
            <w:tcW w:w="75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 xml:space="preserve">małe </w:t>
            </w:r>
            <w:r>
              <w:rPr>
                <w:color w:val="000000"/>
                <w:u w:val="none" w:color="000000"/>
              </w:rPr>
              <w:t>□</w:t>
            </w:r>
            <w:r>
              <w:rPr>
                <w:color w:val="000000"/>
                <w:u w:val="none" w:color="000000"/>
                <w:lang w:val="pl-PL" w:bidi="pl-PL" w:eastAsia="pl-PL"/>
              </w:rPr>
              <w:t xml:space="preserve"> </w:t>
            </w:r>
            <w:r>
              <w:t>duże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328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9.</w:t>
            </w:r>
          </w:p>
        </w:tc>
        <w:tc>
          <w:tcPr>
            <w:tcW w:w="22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Dni leczenia żywieniowego:</w:t>
            </w:r>
          </w:p>
        </w:tc>
        <w:tc>
          <w:tcPr>
            <w:tcW w:w="75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6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żywienie dojelitowe dni ....................................................................</w:t>
            </w:r>
          </w:p>
          <w:p>
            <w:pPr>
              <w:jc w:val="left"/>
            </w:pPr>
            <w:r>
              <w:t>kompletne żywienie pozajelitowe dorosłych dni ................................</w:t>
            </w:r>
          </w:p>
          <w:p>
            <w:pPr>
              <w:jc w:val="left"/>
            </w:pPr>
            <w:r>
              <w:t>częściowe (niekompletne) żywienie pozajelitowe dni .......................</w:t>
            </w:r>
          </w:p>
          <w:p>
            <w:pPr>
              <w:jc w:val="left"/>
            </w:pPr>
            <w:r>
              <w:t>leczenie żywieniowe immunomodulujące dni ……………………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textWrapping"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…………………………………………………..................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auto"/>
          <w:sz w:val="22"/>
          <w:u w:val="none"/>
          <w:vertAlign w:val="baseline"/>
        </w:rPr>
        <w:t>Nadruk lub pieczątka zawierająca imię i nazwisko lekarza, numer prawa wykonywania zawodu oraz jego podpis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2022-10-19T10:07:48Z</dcterms:created>
  <cp:lastModifiedBy>Kociubowska Ewa</cp:lastModifiedBy>
  <dcterms:modified xsi:type="dcterms:W3CDTF">2022-10-26T12:29:25Z</dcterms:modified>
  <cp:revision>68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