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173AAB4" Type="http://schemas.openxmlformats.org/officeDocument/2006/relationships/officeDocument" Target="/word/document.xml" /><Relationship Id="coreR4173AAB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INFORMACJA DLA KOBIETY OBJĘTEJ KOORDYNOWANĄ OPIEKĄ NAD KOBIETĄ W CIĄŻY NA II LUB III POZIOMIE OPIEKI PERINATALNEJ</w:t>
        <w:br w:type="textWrapping"/>
        <w:t>(KOC II/III)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Oznaczenie świadczeniodawcy*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Nazwa podmiotu koordynującego opiekę w okresie ciąży:</w:t>
        <w:br w:type="textWrapping"/>
        <w:t>………………………………………………………………………………….………………………………</w:t>
        <w:br w:type="textWrapping"/>
        <w:t>Pani: …………………………….…………………………………………….…………………………….</w:t>
        <w:br w:type="textWrapping"/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(imię i nazwisko)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PESEL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Pani akceptacją, z dniem 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została Pani objęta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KOORDYNOWANĄ OPIEKĄ NAD KOBIETĄ W CIĄŻY NA II LUB III POZIOMIE OPIEKI PERINATALNEJ (KOC II /III)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Planowany termin porodu: ……………………………………………………………..…………..…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Pani telefonu do kontaktów w trakcie objęcia opieką KOC II/III 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Adres e-mail: ……………….……………………………………………………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(nieobowiązkowe)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Telefon do kontaktów w ośrodku koordynującym opiekę w czasie trwania ciąży i porodu: …………………………………………………………………………………………………………………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Miejsca, w których realizowana może być opieka w trakcie ciąży, porodu w ramach programu Koordynowanej opieki nad kobietą w ciąży: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Poradnie położniczo-ginekologiczne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(nazwa i adres)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………………………………………………………..………………………………………………………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Oddział położniczo-ginekologiczny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(nazwa i adres)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telefonu do kontaktów w pilnych przypadkach 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sytuacji braku możliwości uzyskania kontaktu, należy porozumieć się z innym ośrodkiem realizującym świadczenia w zakresie położnictwa i ginekologii.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……………………………………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Czytelny podpis pacjentki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Nadruk lub pieczątka zawierająca imię i nazwisko lekarza/położnej, numer prawa wykonywania zawodu oraz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 poinformowana, że po przystąpieniu do Koordynowanej opieki nad kobietą w ciąży KOC II/III moje dane mogą być przekazywane podmiotom leczniczym, które nie udzielają świadczeń w ramach KOC II/III, posiadającym umowę z NFZ z zakresu położnictwa i ginekologii, w celu realizacji i monitorowania udzielania świadczeń opieki zdrowotnej dotyczących ciąży, porodu i połogu.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……………………………………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Czytelny podpis pacjentki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*Pieczęć lub nadruk, lub naklejka świadczeniodawcy zawierające nazwę, adres, NIP, REGON.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**W sytuacji wybrania podmiotu realizującego świadczenia w ramach NFZ dot. sprawowania opieki nad ciążą i dzieckiem, w tym ukierunkowanych przede wszystkim na ciążę powikłaną, nie istnieje możliwość powrotu do realizacji opieki w podmiotach świadczących usługi poza KOC II/III.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Zakres świadczeń profilaktycznych i działań w zakresie promocji zdrowia oraz badań diagnostycznych i konsultacji medycznych, wykonywanych u kobiet w okresie ciąży, wraz z okresami ich przeprowadzania wynikający z rozporządzenia Ministra Zdrowia w sprawie standardu organizacyjnego opieki okołoporodowej z dnia 16 sierpnia 2018 r. (Dz.U. poz. 1756, z późn. zm.)</w:t>
      </w:r>
    </w:p>
    <w:tbl>
      <w:tblPr>
        <w:tblW w:w="1113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exact" w:val="51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Termin badania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Świadczenia profilaktyczne wykonywane przez lekarza lub położną i działania w zakresie promocji zdrowia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Badania diagnostyczne i konsultacje medyczne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165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 10. tygodnia ciąży lub w chwili pierwszego zgłoszenia się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Pomiar ciśnienia tętniczego krwi.</w:t>
              <w:br w:type="textWrapping"/>
              <w:t>3. Badanie gruczołów sutkowych.</w:t>
              <w:br w:type="textWrapping"/>
              <w:t>4. Określenie wzrostu, masy ciała i wskaźnika BMI.</w:t>
              <w:br w:type="textWrapping"/>
              <w:t>5. Ocena ryzyka ciążowego.</w:t>
              <w:br w:type="textWrapping"/>
              <w:t>6. Propagowanie zdrowego stylu życia.</w:t>
              <w:br w:type="textWrapping"/>
              <w:t>7. Przekazanie informacji o możliwości wykonania badań w kierunku chorób uwarunkowanych genetycznie.</w:t>
              <w:br w:type="textWrapping"/>
              <w:t>8. W przypadku opieki sprawowanej przez położną obowiązkowa konsultacja lekarza położnika.</w:t>
              <w:br w:type="textWrapping"/>
              <w:t>9. Zebranie danych dotyczących zdrowego stylu życia i nawyków żywieniowych, w tym spożywania alkoholu i innych używek.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Grupa krwi i Rh, o ile ciężarna nie posiada odpowiednio udokumentowanego badania grupy krwi.</w:t>
              <w:br w:type="textWrapping"/>
              <w:t>2. Przeciwciała odpornościowe do antygenów krwinek czerwonych.</w:t>
              <w:br w:type="textWrapping"/>
              <w:t>3. Morfologia krwi.</w:t>
              <w:br w:type="textWrapping"/>
              <w:t>4. Badanie ogólne moczu.</w:t>
              <w:br w:type="textWrapping"/>
              <w:t>5. Badanie cytologiczne, o ile nie było wykonane w ciągu ostatnich 6 miesięcy.</w:t>
              <w:br w:type="textWrapping"/>
              <w:t>6. Badanie stężenia glukozy we krwi na czczo, ewentualnie OGTT u kobiet z czynnikami ryzyka GDM.</w:t>
              <w:br w:type="textWrapping"/>
              <w:t>7. Badanie VDRL.</w:t>
              <w:br w:type="textWrapping"/>
              <w:t>8. Zalecenie kontroli stomatologicznej.</w:t>
              <w:br w:type="textWrapping"/>
              <w:t>9. Badanie HIV i HCV.</w:t>
              <w:br w:type="textWrapping"/>
              <w:t>10. Badanie w kierunku toksoplazmozy (IgG, IgM), o ile ciężarna nie przedstawi wyniku potwierdzającego występowanie przeciwciał IgG sprzed ciąży.</w:t>
              <w:br w:type="textWrapping"/>
              <w:t>11. Badanie w kierunku różyczki (IgG, IgM), o ile ciężarna nie chorowała lub nie była szczepiona lub w przypadku braku informacji.</w:t>
              <w:br w:type="textWrapping"/>
              <w:t>12. Oznaczenie TSH.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exact" w:val="1191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11-14 tydzień ciąży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Pomiar ciśnienia tętniczego krwi.</w:t>
              <w:br w:type="textWrapping"/>
              <w:t>3. Pomiar masy ciała.</w:t>
              <w:br w:type="textWrapping"/>
              <w:t>4. Ocena ryzyka ciążowego.</w:t>
              <w:br w:type="textWrapping"/>
              <w:t>5. Ocena ryzyka i nasilenia objawów depresji.</w:t>
              <w:br w:type="textWrapping"/>
              <w:t>6. Propagowanie zdrowego stylu życia.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Badanie ultrasonograficzne zgodnie z rekomendacjami Polskiego Towarzystwa Ginekologów i Położników (PTGiP).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9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15-20 tydzień ciąży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Pomiar ciśnienia tętniczego krwi.</w:t>
              <w:br w:type="textWrapping"/>
              <w:t>3. Pomiar masy ciała.</w:t>
              <w:br w:type="textWrapping"/>
              <w:t>4. Ocena ryzyka ciążowego.</w:t>
              <w:br w:type="textWrapping"/>
              <w:t>5. Propagowanie zdrowego stylu życia.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Morfologia krwi.</w:t>
              <w:br w:type="textWrapping"/>
              <w:t>2. Badanie ogólne moczu.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4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18-22 tydzień ciąży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Badanie ultrasonograficzne zgodnie z rekomendacjami PTGiP.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</w:trPr>
        <w:tc>
          <w:tcPr>
            <w:tcW w:w="54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21-26 tydzień ciąży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Rozpoczęcie edukacji przedporodowej.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48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21-26 tydzień ciąży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Ocena czynności serca płodu.</w:t>
              <w:br w:type="textWrapping"/>
              <w:t>3. Pomiar ciśnienia tętniczego krwi.</w:t>
              <w:br w:type="textWrapping"/>
              <w:t>4. Pomiar masy ciała.</w:t>
              <w:br w:type="textWrapping"/>
              <w:t>5. Ocena ryzyka ciążowego.</w:t>
              <w:br w:type="textWrapping"/>
              <w:t>6. Propagowanie zdrowego stylu życia.</w:t>
              <w:br w:type="textWrapping"/>
              <w:t>7. W przypadku opieki sprawowanej przez położną konsultacja lekarza położnika (24-26 tydzień ciąży).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stężenia glukozy we krwi po doustnym podaniu 75 g glukozy (w 24-26 tygodniu ciąży) - trzypunktowe oznaczenie stężenia glukozy: przed podaniem glukozy (na czczo), po 1 i 2 godz. od podania glukozy.</w:t>
              <w:br w:type="textWrapping"/>
              <w:t>2. Badanie ogólne moczu.</w:t>
              <w:br w:type="textWrapping"/>
              <w:t>3. Przeciwciała anty-D u kobiet Rh (-).</w:t>
              <w:br w:type="textWrapping"/>
              <w:t>4. U kobiet z ujemnym wynikiem w I trymestrze - badanie w kierunku toksoplazmozy (IgM).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exact" w:val="1191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27-32 tydzień ciąży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Ocena czynności serca płodu.</w:t>
              <w:br w:type="textWrapping"/>
              <w:t>3. Pomiar ciśnienia tętniczego krwi.</w:t>
              <w:br w:type="textWrapping"/>
              <w:t>4. Pomiar masy ciała.</w:t>
              <w:br w:type="textWrapping"/>
              <w:t>5. Ocena ryzyka ciążowego.</w:t>
              <w:br w:type="textWrapping"/>
              <w:t>6. Propagowanie zdrowego stylu życia.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Morfologia krwi.</w:t>
              <w:br w:type="textWrapping"/>
              <w:t>2. Badanie ogólne moczu.</w:t>
              <w:br w:type="textWrapping"/>
              <w:t>3. Przeciwciała anty-D u kobiet Rh (-).</w:t>
              <w:br w:type="textWrapping"/>
              <w:t>4. Badanie ultrasonograficzne zgodnie z rekomendacjami PTGiP.</w:t>
              <w:br w:type="textWrapping"/>
              <w:t>5. W przypadku występowania wskazań - podanie immunoglobuliny anty-D (28-30 tydzień ciąży).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exact" w:val="2346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33-37 tydzień ciąży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Badanie położnicze.</w:t>
              <w:br w:type="textWrapping"/>
              <w:t>3. Ocena wymiarów miednicy.</w:t>
              <w:br w:type="textWrapping"/>
              <w:t>4. Ocena czynności serca płodu.</w:t>
              <w:br w:type="textWrapping"/>
              <w:t>5. Pomiar ciśnienia tętniczego krwi.</w:t>
              <w:br w:type="textWrapping"/>
              <w:t>6. Ocena ruchów płodu.</w:t>
              <w:br w:type="textWrapping"/>
              <w:t>7. Badanie gruczołów sutkowych.</w:t>
              <w:br w:type="textWrapping"/>
              <w:t>8. Pomiar masy ciała.</w:t>
              <w:br w:type="textWrapping"/>
              <w:t>9. Ocena ryzyka ciążowego.</w:t>
              <w:br w:type="textWrapping"/>
              <w:t>10. Ocena ryzyka i nasilenia objawów depresji.</w:t>
              <w:br w:type="textWrapping"/>
              <w:t>11. Propagowanie zdrowego stylu życia.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Morfologia krwi.</w:t>
              <w:br w:type="textWrapping"/>
              <w:t>2. Badanie ogólne moczu.</w:t>
              <w:br w:type="textWrapping"/>
              <w:t>3. Badanie antygenu HBs.</w:t>
              <w:br w:type="textWrapping"/>
              <w:t>4. Badanie HIV.</w:t>
              <w:br w:type="textWrapping"/>
              <w:t>5. Posiew z pochwy i odbytu w kierunku paciorkowców B-hemolizujących (35-37 tydzień ciąży).</w:t>
              <w:br w:type="textWrapping"/>
              <w:t>6. Badanie VDRL, HCV w grupie kobiet ze zwiększonym populacyjnym lub indywidualnym ryzykiem zakażenia.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exact" w:val="2009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38-39 tydzień ciąży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Badanie położnicze.</w:t>
              <w:br w:type="textWrapping"/>
              <w:t>3. Ocena ruchów płodu.</w:t>
              <w:br w:type="textWrapping"/>
              <w:t>4. Ocena czynności serca płodu.</w:t>
              <w:br w:type="textWrapping"/>
              <w:t>5. Pomiar ciśnienia tętniczego krwi.</w:t>
              <w:br w:type="textWrapping"/>
              <w:t>6. Pomiar masy ciała.</w:t>
              <w:br w:type="textWrapping"/>
              <w:t>7. Ocena ryzyka ciążowego.</w:t>
              <w:br w:type="textWrapping"/>
              <w:t>8. Propagowanie zdrowego stylu życia.</w:t>
              <w:br w:type="textWrapping"/>
              <w:t>9. W przypadku opieki sprawowanej przez położną konsultacja lekarza położnika.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ogólne moczu.</w:t>
              <w:br w:type="textWrapping"/>
              <w:t>2. Morfologia krwi.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134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Niezwłocznie po 40. tygodniu ciąży</w:t>
            </w:r>
          </w:p>
        </w:tc>
        <w:tc>
          <w:tcPr>
            <w:tcW w:w="42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podmiotowe i przedmiotowe.</w:t>
              <w:br w:type="textWrapping"/>
              <w:t>2. Badanie położnicze.</w:t>
              <w:br w:type="textWrapping"/>
              <w:t>3. Ocena ruchów płodu.</w:t>
              <w:br w:type="textWrapping"/>
              <w:t>4. Pomiar ciśnienia tętniczego krwi.</w:t>
              <w:br w:type="textWrapping"/>
              <w:t>5. Pomiar masy ciała.</w:t>
              <w:br w:type="textWrapping"/>
              <w:t>6. Ocena ryzyka ciążowego.</w:t>
              <w:br w:type="textWrapping"/>
              <w:t xml:space="preserve">7. Przy prawidłowym wyniku KTG i USG oraz przy prawidłowym odczuwaniu ruchów płodu - kolejne badanie za 7 dni, z ponownym KTG i USG. W trakcie tej wizyty należy ustalić datę hospitalizacji, tak aby poród miał miejsce przed końcem 42. tygodnia. </w:t>
              <w:br w:type="textWrapping"/>
              <w:t>W przypadku odstępstw od normy - indywidualizacja postępowania.</w:t>
            </w:r>
          </w:p>
        </w:tc>
        <w:tc>
          <w:tcPr>
            <w:tcW w:w="56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1. Badanie KTG.</w:t>
              <w:br w:type="textWrapping"/>
              <w:t>2. Badanie ultrasonograficzne zgodnie z rekomendacjami PTGiP.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453" w:right="1020" w:top="283" w:bottom="28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2022-10-19T09:54:08Z</dcterms:created>
  <cp:lastModifiedBy>Kociubowska Ewa</cp:lastModifiedBy>
  <dcterms:modified xsi:type="dcterms:W3CDTF">2022-10-26T12:29:23Z</dcterms:modified>
  <cp:revision>74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