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63A9970" Type="http://schemas.openxmlformats.org/officeDocument/2006/relationships/officeDocument" Target="/word/document.xml" /><Relationship Id="coreR563A997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14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tisagenlecleucelem w programie lekowym Leczenie chorych na ostrą białaczkę limfoblastyczną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kwalifikacja do leczenia tisagenlecleucelem chorych na nawrotową/oporną ostrą białaczkę limfoblastyczną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C91.0 – ostra białaczka limfoblastyczna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Szpital Uniwersytecki nr 1 im. dr. Antoniego Jurasza</w:t>
            </w:r>
          </w:p>
          <w:p>
            <w:pPr>
              <w:jc w:val="left"/>
            </w:pPr>
            <w:r>
              <w:rPr>
                <w:sz w:val="20"/>
              </w:rPr>
              <w:t>85-094 Bydgoszcz</w:t>
            </w:r>
          </w:p>
          <w:p>
            <w:pPr>
              <w:jc w:val="left"/>
            </w:pPr>
            <w:r>
              <w:rPr>
                <w:sz w:val="20"/>
              </w:rPr>
              <w:t>ul. Marii Skłodowskiej-Curie 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pkt.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 Wzory dokumentów niezbędnych dla kwalifikacji pacjenta do terapii tisagenlecleucelem przez Zespół Koordynacyjny ds. CAR-T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Wniosek o zakwalifikowanie pacjenta do leczenia z zastosowaniem terapii tisagenlecleucelem w programie lekowym Leczenie chorych na ostrą białaczkę limfoblastyczną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ab/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Leczenie dotyczy: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pacjenci w wieku do 25 lat nawrotowej lub opornej ostrej białaczki limfoblastycznej z komórek 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 tisagenlecleucelem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Musi być spełnione co najmniej jedno z kryteriów 5A-E</w:t>
            </w:r>
          </w:p>
          <w:p>
            <w:pPr>
              <w:jc w:val="left"/>
            </w:pPr>
            <w:r>
              <w:rPr>
                <w:b w:val="1"/>
              </w:rPr>
              <w:t xml:space="preserve">oraz wszystkie warunki 1-4; 6-9 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rozpoznanie ostrej białaczki limfoblastycznej z komórek prekursorowych limfocytów B;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wiek od 0 do 25 lat (włącznie);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stan sprawności ≥50 według skali Karnofsky’ego (wiek ≥16 lat) lub Lansky’ego (wiek &lt;16 lat);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przewidywany czas przeżycia pacjenta co najmniej 12 tygodni od momentu kwalifikacji do programu;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5) spełnienie co najmniej jednego z poniższych kryteriów:</w:t>
            </w:r>
          </w:p>
          <w:p>
            <w:pPr>
              <w:jc w:val="left"/>
            </w:pPr>
            <w:r>
              <w:t>5A) drugi lub kolejny nawrót;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5B) nawrót po przeszczepieniu allogenicznych krwiotwórczych komórek macierzystych (allo-HSCT) i po co najmniej 4 miesiącach przerwy pomiędzy allo-HSCT a podaniem tisagenlecleucelu; 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5C) pierwotna oporność na leczenie definiowana jako nieosiągnięcie całkowitej remisji (CR) po 2 cyklach standardowej chemioterapii lub chemiooporność definiowana jako nieosiągnięcie CR po jednym cyklu leczenia reindukującego stosowanego w nawrocie ALL;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5D) ALL z obecnym chromosomem Philadelphia z nietolerancją lub z niepowodzeniem co najmniej dwóch linii leczenia inhibitorami kinazy tyrozynowej (TKI) albo przeciwskazania do terapii TKI;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5E) brak kwalifikacji do allo-HSCT ze względu na choroby współistniejące, przeciwwskazania do leczenia kondycjonującgo przed allo-HSCT, brak odpowiedniego dawcy lub wcześniejsze allo-HSCT.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prawidłowa funkcja nerek (klirens kreatyniny powyżej 60 ml/min/1,73 m</w:t>
            </w:r>
            <w:r>
              <w:rPr>
                <w:vertAlign w:val="superscript"/>
              </w:rPr>
              <w:t>2</w:t>
            </w:r>
            <w:r>
              <w:t xml:space="preserve"> albo stężenie kreatyniny w surowicy w normie według wieku i płci);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aktywność aminotransferazy alaninowej ≤ 5 razy powyżej górnej granicy normy dla wieku;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stężenie bilirubiny &lt;2,0 mg/dl;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9) funkcja skurczowa lewej komory ≥28% potwierdzona przez echokardiogram lub frakcja wyrzutowa lewej komory ≥45% potwierdzona za pomocą echokardiogramu;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Warunki 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nadwrażliwość na którąkolwiek substancję pomocniczą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ciąża lub karmienie piersią;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aktywne niekontrolowane zakażenie systemowe;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zakażenie HIV;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aktywne wirusowe zapalenie wątroby typu B,C;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1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współistnienie wrodzonych chorób genetycznych przebiegających z upośledzoną czynnością szpiku, takich jak niedokrwistość Fanconiego, zespół Kostmanna, zespół Schwachmana-Diamonda i innych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przewlekła choroba przeszczep przeciw gospodarzowi (GvHD) w stopniu 2-4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1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obecność przeciwwskazań do stosowania chemioterapii limfodeplecyjnej z zastosowaniem takich leków, jak: fludarabina i cyklofosfamid lub cytarabina i etopozyd.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9) aktywna obturacyjna lub restrykcyjna choroba płuc;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10) aktywna hemoliza;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11) aktywna koagulopatia;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12) aktywna choroba autoimmunologiczna;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13) pierwotny niedobór odporności;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4"/>
        </w:trPr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14) wcześniejsze leczenie CAR-T (anty-CD19)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statusu choroby: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fizykalne i ocena objawów ze strony centralnego układu nerwowego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cytologiczna, cytometryczna wraz z potwierdzeniem obecności antygenu CD19 na blastach białaczkowych i/lub ocena molekularna szpiku kostnego dokumentująca oporność/nawrót choroby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obrazowe centralnego układu nerwowego (CT lub NMR) (można wprowadzić opis badania lub dołączyć skan opisu przeprowadzonych badań obrazowych):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płynu mózgowo-rdzeniowego (w uzasadnionych przypadkach)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parametrów krzepnięcia krwi (należy podać stosowane jednostki i zakres normy):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PT: 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aPTT: 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INR: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Fibrynogen: 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D-dimery: 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Oznaczenie stężenia immunoglobuliny G: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badania oceniające funkcje innych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 serca lub MUGA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Aktywność ALT: ................, AST: …..…...; stężenie bilirubiny:.........................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kreatyniny: ................................ ; eGFR: 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Morfologia krwi (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można wprowadzić opis badania lub dołączyć skan opisu przeprowadzonego badania):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B: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HBsAg: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anty-HBc: 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anty-HBs: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HBV DNA (w przypadku dodatnich anty-HBc):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C: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anty-HCV: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HCV RNA (w przypadku dodatnich anty-HCV):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w kierunku zakażenia wirusem HIV: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anty-HIV: 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Test ciążowy (u kobiet z możliwością zajścia w ciążę): 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Epikryza: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innych badań oraz informacje o stanie klinicznym istotne z punktu widzenia kwalifikacji do leczenia w programie lekowym: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Data: ………………………… </w:t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z zastosowaniem terapii tisagenlecleucelem w programie lekowym Leczenie chorych na ostrą białaczkę limfoblastyczną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CAR-T: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Kymriah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Podpis Przewodniczącego Zespołu Koordynacyjnego ds. CAR-T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związku z realizacją programu lekowego w zakresie danych osobowych, dla których Narodowy Fundusz Zdrowia jest administratorem danych osobowych, przedstawiamy informację dotyczącą przetwarzania danych osobowych: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tisagenlecleucelem w programie lekowym Leczenie chorych na ostrą białaczkę limfoblastyczną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1)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2)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tisagenlecleucelem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t xml:space="preserve">Data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i w:val="1"/>
              </w:rPr>
            </w:pPr>
          </w:p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 xml:space="preserve">Data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2024-07-25T12:57:33Z</dcterms:created>
  <cp:lastModifiedBy>Popiołek Tomasz</cp:lastModifiedBy>
  <dcterms:modified xsi:type="dcterms:W3CDTF">2024-08-02T09:36:03Z</dcterms:modified>
  <cp:revision>77</cp:revision>
  <dc:subject>zmieniające zarządzenie w sprawie określenia warunków zawierania i realizacji umów w rodzaju leczenie szpitalne w zakresie programy lekowe</dc:subject>
  <dc:title>Zarządzenie</dc:title>
</cp:coreProperties>
</file>