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395" w:rsidRDefault="00F524B7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8 do zarządzenia Nr 37/2024/DSOZ</w:t>
      </w:r>
      <w:r>
        <w:br/>
        <w:t>Prezesa Narodowego Funduszu Zdrowia</w:t>
      </w:r>
      <w:r>
        <w:br/>
        <w:t>z dnia 29 marca 2024 r.</w:t>
      </w:r>
    </w:p>
    <w:p w:rsidR="00651395" w:rsidRDefault="00F524B7">
      <w:pPr>
        <w:keepNext/>
        <w:spacing w:after="480"/>
        <w:jc w:val="center"/>
        <w:rPr>
          <w:color w:val="auto"/>
        </w:rPr>
      </w:pPr>
      <w:r>
        <w:rPr>
          <w:b/>
        </w:rPr>
        <w:t>SKALA CIĘŻKOŚCI ZATRUĆ (POISONING SEVERITY SCORE) – PSS</w:t>
      </w:r>
    </w:p>
    <w:p w:rsidR="00651395" w:rsidRDefault="00651395">
      <w:pPr>
        <w:keepNext/>
        <w:spacing w:after="480"/>
        <w:jc w:val="center"/>
        <w:rPr>
          <w:color w:val="auto"/>
        </w:rPr>
      </w:pPr>
    </w:p>
    <w:p w:rsidR="00651395" w:rsidRDefault="00F524B7">
      <w:pPr>
        <w:spacing w:before="120" w:after="120" w:line="360" w:lineRule="auto"/>
        <w:ind w:left="4535"/>
        <w:jc w:val="right"/>
      </w:pPr>
      <w:r>
        <w:t>Załącznik Nr 8 do zarządzenia Nr ....................</w:t>
      </w:r>
      <w:r>
        <w:br/>
        <w:t>Prezesa Narodowego Funduszu Zdrowia</w:t>
      </w:r>
      <w:r>
        <w:br/>
        <w:t xml:space="preserve">z </w:t>
      </w:r>
      <w:r>
        <w:t>dnia....................2024 r.</w:t>
      </w:r>
    </w:p>
    <w:p w:rsidR="00651395" w:rsidRDefault="00F524B7">
      <w:pPr>
        <w:pStyle w:val="Nagwek"/>
        <w:jc w:val="center"/>
        <w:rPr>
          <w:rFonts w:ascii="Arial Narrow" w:hAnsi="Arial Narrow"/>
          <w:sz w:val="28"/>
          <w:lang w:val="en-US" w:eastAsia="en-US" w:bidi="en-US"/>
        </w:rPr>
      </w:pPr>
      <w:r>
        <w:rPr>
          <w:rFonts w:ascii="Arial Narrow" w:hAnsi="Arial Narrow"/>
          <w:b/>
          <w:sz w:val="24"/>
          <w:lang w:val="en-US" w:eastAsia="en-US" w:bidi="en-US"/>
        </w:rPr>
        <w:t>SKALA CIĘŻKOŚCI ZATRUĆ (POISONING SEVERITY SCORE) – PSS</w:t>
      </w:r>
    </w:p>
    <w:tbl>
      <w:tblPr>
        <w:tblW w:w="151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1418"/>
        <w:gridCol w:w="3682"/>
        <w:gridCol w:w="4395"/>
        <w:gridCol w:w="4395"/>
      </w:tblGrid>
      <w:tr w:rsidR="00651395">
        <w:trPr>
          <w:jc w:val="center"/>
        </w:trPr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pStyle w:val="Podtytu"/>
              <w:jc w:val="center"/>
              <w:rPr>
                <w:rFonts w:ascii="Arial Narrow" w:hAnsi="Arial Narrow"/>
                <w:sz w:val="18"/>
                <w:lang w:val="en-US" w:eastAsia="en-US" w:bidi="en-US"/>
              </w:rPr>
            </w:pPr>
            <w:r>
              <w:rPr>
                <w:rFonts w:ascii="Arial Narrow" w:hAnsi="Arial Narrow"/>
                <w:sz w:val="18"/>
                <w:lang w:val="en-US" w:eastAsia="en-US" w:bidi="en-US"/>
              </w:rPr>
              <w:t>Układ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BEZ OBJAWÓW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LEKKIE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ŚREDNIE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CIĘŻKIE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651395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651395">
            <w:pPr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Brak objawów przedmiotowych i podmiotowych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Objawy nieznaczne, przemijające i spontanicznie ustępujące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 xml:space="preserve">Objawy </w:t>
            </w:r>
            <w:r>
              <w:rPr>
                <w:rFonts w:ascii="Arial Narrow" w:hAnsi="Arial Narrow"/>
                <w:b/>
                <w:sz w:val="18"/>
              </w:rPr>
              <w:t>nasilone i przedłużające się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51395" w:rsidRDefault="00F524B7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Objawy ciężkie i zagrażające życiu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Przewód pokarmowy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Nudności, wymioty, biegunka, ból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Podrażnienie, 1 stopień oparzenia, minimalne owrzodzenia w jamie ustnej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Endoskopia: rumień, obrzęk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Nasilone lub przedłużające się wymioty, </w:t>
            </w:r>
            <w:r>
              <w:rPr>
                <w:rFonts w:ascii="Arial Narrow" w:hAnsi="Arial Narrow"/>
                <w:sz w:val="16"/>
              </w:rPr>
              <w:t>biegunka, ból; niedrożność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1 stopień oparzenia o krytycznej lokalizacji albo 2 i 3 stopień oparzenia o ograniczonej lokalizacji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Dysfagia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Endoskopia: owrzodzenia obejmujące cały przekrój śluzówki</w:t>
            </w:r>
          </w:p>
          <w:p w:rsidR="00651395" w:rsidRDefault="0065139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Masywne krwawienie, perforacja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Znacznie rozprzestrzenione op</w:t>
            </w:r>
            <w:r>
              <w:rPr>
                <w:rFonts w:ascii="Arial Narrow" w:hAnsi="Arial Narrow"/>
                <w:sz w:val="16"/>
              </w:rPr>
              <w:t xml:space="preserve">arzenia 2 i 3 stopnia 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Ciężka dysfagia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Endoskopia: owrzodzenia obejmujące całą grubość ściany, tkanki otaczające, perforacja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Układ oddechowy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Podrażnienie, kaszel, „krótki oddech”, niewielka duszność, niewielki skurcz oskrzeli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Rtg klatki piersiowej: </w:t>
            </w:r>
            <w:r>
              <w:rPr>
                <w:rFonts w:ascii="Arial Narrow" w:hAnsi="Arial Narrow"/>
                <w:sz w:val="16"/>
              </w:rPr>
              <w:t>nieprawidłowy z niewielkimi lub brakiem objawów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Przedłużający się kaszel, skurcz oskrzeli, duszność, stridor, hipoksemia - wymagająca tlenoterapii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Rtg klatki piersiowej: nieprawidłowy z umiarkowanymi objawami klinicznymi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Jawna niewydolność oddechowa (ciężk</w:t>
            </w:r>
            <w:r>
              <w:rPr>
                <w:rFonts w:ascii="Arial Narrow" w:hAnsi="Arial Narrow"/>
                <w:sz w:val="16"/>
              </w:rPr>
              <w:t>i stan spastyczny oskrzeli, zwężenie dróg oddechowych, obrzęk głośni, obrzęk płuc, ARDS, „pneumonitis”, zapalenie płuc, odma opłucnowa)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Rtg klatki piersiowej: nieprawidłowy z ciężkimi objawami klinicznymi</w:t>
            </w:r>
          </w:p>
        </w:tc>
      </w:tr>
      <w:tr w:rsidR="00651395">
        <w:trPr>
          <w:trHeight w:val="2208"/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lastRenderedPageBreak/>
              <w:t>Układ nerwowy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Senność, zawroty głowy, szum w </w:t>
            </w:r>
            <w:r>
              <w:rPr>
                <w:rFonts w:ascii="Arial Narrow" w:hAnsi="Arial Narrow"/>
                <w:sz w:val="16"/>
              </w:rPr>
              <w:t>uszach, zaburzenia równowagi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Niepokój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Nieznaczne objawy pozapiramidowe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Nieznaczne objawy cholinergiczne lub antycholinergiczne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Parestezje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Nieznaczne zaburzenia widzenia lub słuchu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Oczopląs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Nieprzytomny, z prawidłową reakcją na ból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Krótkotrwały bezdech, bra</w:t>
            </w:r>
            <w:r>
              <w:rPr>
                <w:rFonts w:ascii="Arial Narrow" w:hAnsi="Arial Narrow"/>
                <w:sz w:val="16"/>
              </w:rPr>
              <w:t>dypnoe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Splątanie, podniecenie, halucynacje, delirium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Rzadkie, uogólnione lub częściowe drgawki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Nasilone objawy pozapiramidowe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Nasilone objawy cholinergiczne lub antycholinergiczne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Ograniczone niedowłady nie zaburzające funkcji życiowych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Zaburzenia widzenia</w:t>
            </w:r>
            <w:r>
              <w:rPr>
                <w:rFonts w:ascii="Arial Narrow" w:hAnsi="Arial Narrow"/>
                <w:sz w:val="16"/>
              </w:rPr>
              <w:t xml:space="preserve"> i słuchu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Mioklonie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Przedłużający się oczopląs</w:t>
            </w:r>
          </w:p>
          <w:p w:rsidR="00651395" w:rsidRDefault="0065139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Głęboka śpiączka z nieprawidłową odpowiedzią na bodźce bólowe lub brakiem odpowiedzi na ból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Depresja oddechowa z niewydolnością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Skrajne pobudzenie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Częste, uogólnione drgawki, stan padaczkowy, opistotonus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Uogólniony niedowład lub niedowład zaburzający funkcje życiowe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 widzi, nie słyszy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Odruchy i objawy patologiczne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Anizokoria</w:t>
            </w:r>
          </w:p>
        </w:tc>
      </w:tr>
    </w:tbl>
    <w:p w:rsidR="00651395" w:rsidRDefault="00F524B7">
      <w:r>
        <w:br w:type="page"/>
      </w:r>
    </w:p>
    <w:tbl>
      <w:tblPr>
        <w:tblW w:w="151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1418"/>
        <w:gridCol w:w="3682"/>
        <w:gridCol w:w="4395"/>
        <w:gridCol w:w="4395"/>
      </w:tblGrid>
      <w:tr w:rsidR="00651395">
        <w:trPr>
          <w:jc w:val="center"/>
        </w:trPr>
        <w:tc>
          <w:tcPr>
            <w:tcW w:w="1305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lastRenderedPageBreak/>
              <w:t>Układ sercowo-naczyniowy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Pojedyncze skurcze dodatkowe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Nieznaczna i przemijająca hipo/ hipertensja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Bradykardia zatokowa (HR </w:t>
            </w:r>
            <w:r>
              <w:rPr>
                <w:rFonts w:ascii="Arial Narrow" w:hAnsi="Arial Narrow"/>
                <w:sz w:val="16"/>
              </w:rPr>
              <w:t>50-60 u dorosłych , 80-90 u niemowląt i dzieci, 90-100 u noworodków)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Tachykardia zatokowa (HR 120-140 u dorosłych, 130-160 u niemowląt i dzieci, 140-160 u noworodków)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Bradykardia zatokowa (HR 40-50 u dorosłych, 60-80 u niemowląt i dzieci, 80-90 u noworodkó</w:t>
            </w:r>
            <w:r>
              <w:rPr>
                <w:rFonts w:ascii="Arial Narrow" w:hAnsi="Arial Narrow"/>
                <w:sz w:val="16"/>
              </w:rPr>
              <w:t>w)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Tachykardia zatokowa (HR 140-160 u dorosłych, 160-190 u niemowląt i dzieci, 160-200 u noworodków)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Powtarzające się skurcze dodatkowe, migotanie/ trzepotanie przedsionków, blok AV I-II stopnia, przedłużenie czasu QRS i QT, zaburzenia repolaryzacji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Niedokrwienie mięśnia sercowego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Bardziej nasilona hipo/ hipertensja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Znaczna bradykardia zatokowa (HR&lt;40 u dorosłych, &lt;60 u niemowląt, &lt; 80 u noworodków)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Znaczna tachykardia zatokowa (HR &gt;160 u dorosłych, &gt;190 u niemowląt i dzieci, &gt;200 u noworodków)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Zagraż</w:t>
            </w:r>
            <w:r>
              <w:rPr>
                <w:rFonts w:ascii="Arial Narrow" w:hAnsi="Arial Narrow"/>
                <w:sz w:val="16"/>
              </w:rPr>
              <w:t>ające życiu komorowe zaburzenia rytmu, blok AV III stopnia, asystolia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Zawał mięśnia sercowego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Wstrząs, przełom nadciśnieniowy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Równowaga metaboliczna</w:t>
            </w:r>
          </w:p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Niewielkie zaburzenia równowagi kwasowo-zasadowej (HCO</w:t>
            </w:r>
            <w:r>
              <w:rPr>
                <w:rFonts w:ascii="Arial Narrow" w:hAnsi="Arial Narrow"/>
                <w:sz w:val="16"/>
                <w:vertAlign w:val="subscript"/>
              </w:rPr>
              <w:t>3</w:t>
            </w:r>
            <w:r>
              <w:rPr>
                <w:rFonts w:ascii="Arial Narrow" w:hAnsi="Arial Narrow"/>
                <w:b/>
                <w:sz w:val="16"/>
                <w:vertAlign w:val="superscript"/>
              </w:rPr>
              <w:t>-</w:t>
            </w:r>
            <w:r>
              <w:rPr>
                <w:rFonts w:ascii="Arial Narrow" w:hAnsi="Arial Narrow"/>
                <w:sz w:val="16"/>
              </w:rPr>
              <w:t xml:space="preserve"> 15-20 lub 30-40 mmol/l, pH 7.25-7.32 lub 7.50-7.59)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Niewielkie zaburzenia równowagi wodno-elektrolitowej (K</w:t>
            </w:r>
            <w:r>
              <w:rPr>
                <w:rFonts w:ascii="Arial Narrow" w:hAnsi="Arial Narrow"/>
                <w:sz w:val="16"/>
                <w:vertAlign w:val="superscript"/>
              </w:rPr>
              <w:t>+</w:t>
            </w:r>
            <w:r>
              <w:rPr>
                <w:rFonts w:ascii="Arial Narrow" w:hAnsi="Arial Narrow"/>
                <w:sz w:val="16"/>
              </w:rPr>
              <w:t xml:space="preserve"> 3.0-3.4 lub 5.2-5.9 mmol/l)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Niewielka hipoglikemia ( 50-70 mg/dl lub 2.8-3.9 mmol/l u dorosłych)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Krótkotrwała hipertermia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Bardziej nasilone zaburz</w:t>
            </w:r>
            <w:r>
              <w:rPr>
                <w:rFonts w:ascii="Arial Narrow" w:hAnsi="Arial Narrow"/>
                <w:sz w:val="16"/>
              </w:rPr>
              <w:t>enia równowagi kwasowo-zasadowej (HCO</w:t>
            </w:r>
            <w:r>
              <w:rPr>
                <w:rFonts w:ascii="Arial Narrow" w:hAnsi="Arial Narrow"/>
                <w:sz w:val="16"/>
                <w:vertAlign w:val="subscript"/>
              </w:rPr>
              <w:t>3</w:t>
            </w:r>
            <w:r>
              <w:rPr>
                <w:rFonts w:ascii="Arial Narrow" w:hAnsi="Arial Narrow"/>
                <w:b/>
                <w:sz w:val="16"/>
                <w:vertAlign w:val="superscript"/>
              </w:rPr>
              <w:t xml:space="preserve">- </w:t>
            </w:r>
            <w:r>
              <w:rPr>
                <w:rFonts w:ascii="Arial Narrow" w:hAnsi="Arial Narrow"/>
                <w:sz w:val="16"/>
              </w:rPr>
              <w:t>10-14 lub &gt;40 mmol/l, pH 7.15-7.24 lub 7.60-7.69)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Bardziej nasilone zaburzenia równowagi wodno-elektrolitowej (K</w:t>
            </w:r>
            <w:r>
              <w:rPr>
                <w:rFonts w:ascii="Arial Narrow" w:hAnsi="Arial Narrow"/>
                <w:sz w:val="16"/>
                <w:vertAlign w:val="superscript"/>
              </w:rPr>
              <w:t>+</w:t>
            </w:r>
            <w:r>
              <w:rPr>
                <w:rFonts w:ascii="Arial Narrow" w:hAnsi="Arial Narrow"/>
                <w:sz w:val="16"/>
              </w:rPr>
              <w:t xml:space="preserve"> 2.5-2.9 lub 6.0-6.9 mmol/l)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Bardziej nasilona hipoglikemia (30-50 mg/dl lub 1.7-2.8 mmol/l u dorosłych</w:t>
            </w:r>
            <w:r>
              <w:rPr>
                <w:rFonts w:ascii="Arial Narrow" w:hAnsi="Arial Narrow"/>
                <w:sz w:val="16"/>
              </w:rPr>
              <w:t>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Hipertermia dłużej trwająca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Ciężkie zaburzenia równowagi kwasowo-zasadowej (HCO</w:t>
            </w:r>
            <w:r>
              <w:rPr>
                <w:rFonts w:ascii="Arial Narrow" w:hAnsi="Arial Narrow"/>
                <w:sz w:val="16"/>
                <w:vertAlign w:val="subscript"/>
              </w:rPr>
              <w:t>3</w:t>
            </w:r>
            <w:r>
              <w:rPr>
                <w:rFonts w:ascii="Arial Narrow" w:hAnsi="Arial Narrow"/>
                <w:b/>
                <w:sz w:val="16"/>
                <w:vertAlign w:val="superscript"/>
              </w:rPr>
              <w:t>-</w:t>
            </w:r>
            <w:r>
              <w:rPr>
                <w:rFonts w:ascii="Arial Narrow" w:hAnsi="Arial Narrow"/>
                <w:sz w:val="16"/>
              </w:rPr>
              <w:t xml:space="preserve"> &lt;10 mmol/l, pH 7.15 lub &gt; 7.7)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Ciężkie zaburzenia równowagi wodno-elektrolitowej (K</w:t>
            </w:r>
            <w:r>
              <w:rPr>
                <w:rFonts w:ascii="Arial Narrow" w:hAnsi="Arial Narrow"/>
                <w:sz w:val="16"/>
                <w:vertAlign w:val="superscript"/>
              </w:rPr>
              <w:t>+</w:t>
            </w:r>
            <w:r>
              <w:rPr>
                <w:rFonts w:ascii="Arial Narrow" w:hAnsi="Arial Narrow"/>
                <w:sz w:val="16"/>
              </w:rPr>
              <w:t xml:space="preserve"> &lt;2.5 lub &gt;7.0 mmol/l)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Ciężka hipoglikemia(&lt;30 mg/dl lub 1.7 mmol/l u dorosłych)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Niebezpieczna hipo lub hipertermia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Wątroba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Niewielki wzrost aktywności enzymów (AspAT, AlAT 2-5 x norma)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Wzrost aktywności enzymów (AspAT, AlAT 5-50 x norma), ale bez biochemicznych (amoniak, czynniki krzepnięcia) i klinicznych objawów dysfunkcji wątroby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Wzrost aktywności enzymów (AspAT, AlAT &gt; 50 x norma) lub biochemiczne (amoniak, czynniki krzepnięcia) i kliniczne objawy niewydolności wątroby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Nerki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Nieznaczny białkomocz/ krwiomocz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Masywny białkomocz/ krwiomocz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Dysfunkcja nerek (oliguria, poliuria, stężenie kreatyniny w surowicy 200-500 </w:t>
            </w:r>
            <w:r>
              <w:rPr>
                <w:rFonts w:ascii="Arial Narrow" w:hAnsi="Arial Narrow"/>
                <w:sz w:val="16"/>
              </w:rPr>
              <w:fldChar w:fldCharType="begin"/>
            </w:r>
            <w:r>
              <w:rPr>
                <w:rFonts w:ascii="Arial Narrow" w:hAnsi="Arial Narrow"/>
                <w:sz w:val="16"/>
              </w:rPr>
              <w:instrText>SYMBOL 109 \f "Symbol" \s 8</w:instrText>
            </w:r>
            <w:r>
              <w:rPr>
                <w:rFonts w:ascii="Arial Narrow" w:hAnsi="Arial Narrow"/>
                <w:sz w:val="16"/>
              </w:rPr>
              <w:fldChar w:fldCharType="separate"/>
            </w:r>
            <w:r>
              <w:rPr>
                <w:rFonts w:ascii="Symbol" w:hAnsi="Symbol"/>
                <w:sz w:val="16"/>
              </w:rPr>
              <w:t>m</w:t>
            </w:r>
            <w:r>
              <w:rPr>
                <w:rFonts w:ascii="Arial Narrow" w:hAnsi="Arial Narrow"/>
                <w:sz w:val="16"/>
              </w:rPr>
              <w:fldChar w:fldCharType="end"/>
            </w:r>
            <w:r>
              <w:rPr>
                <w:rFonts w:ascii="Arial Narrow" w:hAnsi="Arial Narrow"/>
                <w:sz w:val="16"/>
              </w:rPr>
              <w:t>mol/l))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Niewydolność nerek (anuria, stężenie kreatyniny w surowicy &gt;500 </w:t>
            </w:r>
            <w:r>
              <w:rPr>
                <w:rFonts w:ascii="Arial Narrow" w:hAnsi="Arial Narrow"/>
                <w:sz w:val="16"/>
              </w:rPr>
              <w:fldChar w:fldCharType="begin"/>
            </w:r>
            <w:r>
              <w:rPr>
                <w:rFonts w:ascii="Arial Narrow" w:hAnsi="Arial Narrow"/>
                <w:sz w:val="16"/>
              </w:rPr>
              <w:instrText>SYMBOL 109 \f "Symbol" \s 8</w:instrText>
            </w:r>
            <w:r>
              <w:rPr>
                <w:rFonts w:ascii="Arial Narrow" w:hAnsi="Arial Narrow"/>
                <w:sz w:val="16"/>
              </w:rPr>
              <w:fldChar w:fldCharType="separate"/>
            </w:r>
            <w:r>
              <w:rPr>
                <w:rFonts w:ascii="Symbol" w:hAnsi="Symbol"/>
                <w:sz w:val="16"/>
              </w:rPr>
              <w:t>m</w:t>
            </w:r>
            <w:r>
              <w:rPr>
                <w:rFonts w:ascii="Arial Narrow" w:hAnsi="Arial Narrow"/>
                <w:sz w:val="16"/>
              </w:rPr>
              <w:fldChar w:fldCharType="end"/>
            </w:r>
            <w:r>
              <w:rPr>
                <w:rFonts w:ascii="Arial Narrow" w:hAnsi="Arial Narrow"/>
                <w:sz w:val="16"/>
              </w:rPr>
              <w:t>mol/L))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Krew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Niewielka hemoliza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Niewielka m</w:t>
            </w:r>
            <w:r>
              <w:rPr>
                <w:rFonts w:ascii="Arial Narrow" w:hAnsi="Arial Narrow"/>
                <w:sz w:val="16"/>
              </w:rPr>
              <w:t>ethemoglobinemia (MetHb 10-30%)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Hemoliza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Bardziej nasilona methemoglobinemia (MetHb 30-50 %)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Nieprawidłowe parametry krzepnięcia bez cech krwawienia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Anemia, leukopenia, trombocytopenia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Masywna hemoliza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Ciężka methemoglobinemia (MetHb &gt;50%)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Nieprawidłowe </w:t>
            </w:r>
            <w:r>
              <w:rPr>
                <w:rFonts w:ascii="Arial Narrow" w:hAnsi="Arial Narrow"/>
                <w:sz w:val="16"/>
              </w:rPr>
              <w:t>parametry krzepnięcia z jawną skazą krwotoczną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Ciężka anemia, leukopenia, trombocytopenia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Układ mięśniowy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Nieznaczny ból, nadwrażliwość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CPK 250-1500 IU/l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Ból, sztywność, kurcze i drżenia pęczkowe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Rabdomioliza, CPK 1500-10 000 IU/l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Intensywny ból, znaczna</w:t>
            </w:r>
            <w:r>
              <w:rPr>
                <w:rFonts w:ascii="Arial Narrow" w:hAnsi="Arial Narrow"/>
                <w:sz w:val="16"/>
              </w:rPr>
              <w:t xml:space="preserve"> sztywność, nasilone kurcze i drżenia pęczkowe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Rabdomioliza z powikłaniami, </w:t>
            </w:r>
          </w:p>
          <w:p w:rsidR="00651395" w:rsidRDefault="00F524B7">
            <w:pPr>
              <w:ind w:left="17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CPK &gt;10 000 IU/l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Zespół kompartmentowy</w:t>
            </w:r>
          </w:p>
        </w:tc>
      </w:tr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Skóra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Podrażnienie, 1 stopień oparzenia (zaczerwienienie) lub 2 stopień oparzenia na powierzchni &lt;10% powierzchni ciała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 stopień oparzeni</w:t>
            </w:r>
            <w:r>
              <w:rPr>
                <w:rFonts w:ascii="Arial Narrow" w:hAnsi="Arial Narrow"/>
                <w:sz w:val="16"/>
              </w:rPr>
              <w:t>a w 10-50% powierzchni ciała (dzieci: 10-30%) lub 3 stopień oparzenia na powierzchni &lt;2%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Odleżyny pojedyncze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 stopień oparzenia &gt;50% powierzchni ciała (dzieci: &gt;30%) lub 3 stopień oparzenia na powierzchni &gt;2%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Odleżyny mnogie &gt;2%</w:t>
            </w:r>
          </w:p>
        </w:tc>
      </w:tr>
    </w:tbl>
    <w:p w:rsidR="00651395" w:rsidRDefault="00651395"/>
    <w:tbl>
      <w:tblPr>
        <w:tblW w:w="151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1418"/>
        <w:gridCol w:w="3682"/>
        <w:gridCol w:w="4395"/>
        <w:gridCol w:w="4395"/>
      </w:tblGrid>
      <w:tr w:rsidR="00651395">
        <w:trPr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Oczy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Podrażnienie, </w:t>
            </w:r>
            <w:r>
              <w:rPr>
                <w:rFonts w:ascii="Arial Narrow" w:hAnsi="Arial Narrow"/>
                <w:sz w:val="16"/>
              </w:rPr>
              <w:t>zaczerwienienie, łzawienie, nieznaczny obrzęk powiek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Znaczne podrażnienie, ubytki rogówki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Niewielkie (punktowe) owrzodzenie rogówki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Owrzodzenia rogówki (nie punktowe), perforacja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Trwałe uszkodzenie</w:t>
            </w:r>
          </w:p>
        </w:tc>
      </w:tr>
      <w:tr w:rsidR="00651395">
        <w:trPr>
          <w:trHeight w:val="1077"/>
          <w:jc w:val="center"/>
        </w:trPr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51395" w:rsidRDefault="00F524B7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lastRenderedPageBreak/>
              <w:t>Zmiany miejscowe po ukąszeniach i użądleniach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51395" w:rsidRDefault="0065139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Miejscowy </w:t>
            </w:r>
            <w:r>
              <w:rPr>
                <w:rFonts w:ascii="Arial Narrow" w:hAnsi="Arial Narrow"/>
                <w:sz w:val="16"/>
              </w:rPr>
              <w:t>obrzęk, swędzenie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Nieznaczny ból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Obrzęk obejmujący całą kończynę, miejscowa martwica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Umiarkowany ból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Obrzęk obejmujący całą kończynę i znaczną część otaczającej powierzchni, bardziej rozległa martwica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Krytyczna lokalizacja obrzęku zagrażająca drożności dró</w:t>
            </w:r>
            <w:r>
              <w:rPr>
                <w:rFonts w:ascii="Arial Narrow" w:hAnsi="Arial Narrow"/>
                <w:sz w:val="16"/>
              </w:rPr>
              <w:t>g oddechowych</w:t>
            </w:r>
          </w:p>
          <w:p w:rsidR="00651395" w:rsidRDefault="00F524B7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Znacznie nasilony ból</w:t>
            </w:r>
          </w:p>
        </w:tc>
      </w:tr>
    </w:tbl>
    <w:p w:rsidR="00651395" w:rsidRDefault="00651395">
      <w:pPr>
        <w:rPr>
          <w:rFonts w:ascii="Arial Narrow" w:hAnsi="Arial Narrow"/>
        </w:rPr>
      </w:pPr>
    </w:p>
    <w:p w:rsidR="00651395" w:rsidRDefault="00F524B7">
      <w:pPr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Skala ta jest międzynarodową klasyfikacją ciężkości zatrucia w odniesieniu zarówno do osób dorosłych, jak i dzieci. Może być stosowana w przypadku każdego ostrego zatrucia niezależnie od ilości i typu czynników go wywołujących. Wypełnienie formularza PSS w</w:t>
      </w:r>
      <w:r>
        <w:rPr>
          <w:rFonts w:ascii="Arial Narrow" w:hAnsi="Arial Narrow"/>
          <w:sz w:val="18"/>
        </w:rPr>
        <w:t xml:space="preserve">ymaga dokładnej analizy całości dokumentacji klinicznej. </w:t>
      </w:r>
    </w:p>
    <w:p w:rsidR="00651395" w:rsidRDefault="00F524B7">
      <w:pPr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Stopień ciężkości zatrucia zostaje określony na podstawie rzetelnej obserwacji klinicznej. PSS zawsze powinna brać pod uwagę całokształt procesu obserwacji klinicznej i być wypełniana w oparciu o uw</w:t>
      </w:r>
      <w:r>
        <w:rPr>
          <w:rFonts w:ascii="Arial Narrow" w:hAnsi="Arial Narrow"/>
          <w:sz w:val="18"/>
        </w:rPr>
        <w:t>zględnienie najcięższej symptomatologii (wystąpienie choćby jednego objawu), w tym objawów subiektywnych i obiektywnych. Może on być wypełniany w każdej chwili hospitalizacji, pod warunkiem dokładnego określenia czasu zbierania danych. Skala ta nie określa</w:t>
      </w:r>
      <w:r>
        <w:rPr>
          <w:rFonts w:ascii="Arial Narrow" w:hAnsi="Arial Narrow"/>
          <w:sz w:val="18"/>
        </w:rPr>
        <w:t xml:space="preserve"> ryzyka i zagrożeń w oparciu o dane takie jak, ilość spożytej substancji czy stężenie ksenobiotyku we krwi.</w:t>
      </w:r>
    </w:p>
    <w:p w:rsidR="00651395" w:rsidRDefault="00651395">
      <w:pPr>
        <w:rPr>
          <w:rFonts w:ascii="Arial Narrow" w:hAnsi="Arial Narrow"/>
        </w:rPr>
      </w:pPr>
    </w:p>
    <w:p w:rsidR="00651395" w:rsidRDefault="00651395"/>
    <w:sectPr w:rsidR="0065139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B88A0FC0"/>
    <w:lvl w:ilvl="0">
      <w:numFmt w:val="decimal"/>
      <w:lvlText w:val="*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  <w:lvlOverride w:ilvl="0">
      <w:lvl w:ilvl="0">
        <w:start w:val="1"/>
        <w:numFmt w:val="bullet"/>
        <w:lvlText w:val="·"/>
        <w:legacy w:legacy="1" w:legacySpace="57" w:legacyIndent="170"/>
        <w:lvlJc w:val="left"/>
        <w:pPr>
          <w:shd w:val="clear" w:color="auto" w:fill="auto"/>
          <w:ind w:left="170" w:hanging="170"/>
        </w:pPr>
        <w:rPr>
          <w:rFonts w:ascii="Symbol" w:hAnsi="Symbol"/>
          <w:b w:val="0"/>
          <w:i w:val="0"/>
          <w:caps w:val="0"/>
          <w:strike w:val="0"/>
          <w:noProof w:val="0"/>
          <w:vanish w:val="0"/>
          <w:color w:val="auto"/>
          <w:sz w:val="24"/>
          <w:u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395"/>
    <w:rsid w:val="00651395"/>
    <w:rsid w:val="00F5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8909B-2E78-4AE3-8092-F0EC4EE3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153"/>
        <w:tab w:val="right" w:pos="8306"/>
      </w:tabs>
    </w:pPr>
    <w:rPr>
      <w:color w:val="auto"/>
      <w:sz w:val="20"/>
      <w:shd w:val="clear" w:color="auto" w:fill="auto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color w:val="auto"/>
      <w:sz w:val="20"/>
      <w:shd w:val="clear" w:color="auto" w:fill="auto"/>
    </w:rPr>
  </w:style>
  <w:style w:type="paragraph" w:styleId="Podtytu">
    <w:name w:val="Subtitle"/>
    <w:basedOn w:val="Normalny"/>
    <w:rPr>
      <w:rFonts w:ascii="Arial" w:hAnsi="Arial"/>
      <w:b/>
      <w:color w:val="auto"/>
      <w:sz w:val="20"/>
      <w:shd w:val="clear" w:color="auto" w:fill="auto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2024-04-02T06:16:00Z</dcterms:created>
  <dcterms:modified xsi:type="dcterms:W3CDTF">2024-04-02T06:16:00Z</dcterms:modified>
</cp:coreProperties>
</file>