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  <w:richText/>
        </w:sdtPr>
        <w:sdtContent>
          <w:r w:rsidR="0062691F">
            <w:rPr>
              <w:rFonts w:ascii="Arial" w:hAnsi="Arial"/>
              <w:b/>
              <w:bCs/>
              <w:color w:val="auto"/>
              <w:sz w:val="24"/>
              <w:szCs w:val="24"/>
            </w:rPr>
            <w:t>96</w:t>
          </w:r>
          <w:bookmarkStart w:id="0" w:name="_GoBack"/>
          <w:bookmarkEnd w:id="0"/>
        </w:sdtContent>
      </w:sdt>
      <w:r w:rsidRPr="006C7244" w:rsidR="006557C0">
        <w:rPr>
          <w:rFonts w:ascii="Arial" w:hAnsi="Arial"/>
          <w:b/>
          <w:bCs/>
          <w:color w:val="auto"/>
          <w:sz w:val="24"/>
          <w:szCs w:val="24"/>
        </w:rPr>
        <w:t>/20</w:t>
      </w:r>
      <w:r w:rsidR="00A61BAA">
        <w:rPr>
          <w:rFonts w:ascii="Arial" w:hAnsi="Arial"/>
          <w:b/>
          <w:bCs/>
          <w:color w:val="auto"/>
          <w:sz w:val="24"/>
          <w:szCs w:val="24"/>
        </w:rPr>
        <w:t>21</w:t>
      </w:r>
      <w:r w:rsidRPr="006C7244" w:rsidR="0061093D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  <w:richText/>
        </w:sdtPr>
        <w:sdtContent>
          <w:r w:rsidR="00BA2E6F">
            <w:rPr>
              <w:rFonts w:ascii="Arial" w:hAnsi="Arial"/>
              <w:b/>
              <w:bCs/>
              <w:color w:val="auto"/>
              <w:sz w:val="24"/>
              <w:szCs w:val="24"/>
            </w:rPr>
            <w:t>DSOZ</w:t>
          </w:r>
        </w:sdtContent>
      </w:sdt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 w:rsidR="00726FB5">
        <w:rPr>
          <w:rFonts w:ascii="Arial" w:hAnsi="Arial"/>
          <w:color w:val="auto"/>
          <w:sz w:val="24"/>
          <w:szCs w:val="24"/>
        </w:rPr>
        <w:t>27.05.2021</w:t>
      </w:r>
      <w:bookmarkEnd w:id="1"/>
      <w:r w:rsidR="00726FB5">
        <w:rPr>
          <w:rFonts w:ascii="Arial" w:hAnsi="Arial"/>
          <w:color w:val="auto"/>
          <w:sz w:val="24"/>
          <w:szCs w:val="24"/>
        </w:rPr>
        <w:t xml:space="preserve"> </w:t>
      </w:r>
      <w:r w:rsidRPr="006C7244" w:rsidR="0061093D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EB4052" w:rsidRPr="006C7244" w:rsidP="0006056E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85108784DF143E19203DFE80BD67994"/>
          </w:placeholder>
          <w:richText/>
        </w:sdtPr>
        <w:sdtContent>
          <w:r w:rsidR="00A61BAA">
            <w:rPr>
              <w:rFonts w:ascii="Arial" w:hAnsi="Arial"/>
              <w:b/>
              <w:bCs/>
              <w:color w:val="auto"/>
              <w:sz w:val="24"/>
              <w:szCs w:val="24"/>
            </w:rPr>
            <w:t xml:space="preserve">zmieniające zarządzenie </w:t>
          </w:r>
          <w:r w:rsidRPr="00A61BAA" w:rsidR="00A61BAA">
            <w:rPr>
              <w:rFonts w:ascii="Arial" w:hAnsi="Arial"/>
              <w:b/>
              <w:bCs/>
              <w:color w:val="auto"/>
              <w:sz w:val="24"/>
              <w:szCs w:val="24"/>
            </w:rPr>
            <w:t>w sprawie określenia warunków zawierania i realizacji umów w rodzaju leczenie szpitalne oraz leczenie szpitalne – świadczenia wysokospecjalistyczne</w:t>
          </w:r>
        </w:sdtContent>
      </w:sdt>
    </w:p>
    <w:p w:rsidR="00FC1DF3" w:rsidRPr="006C724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A61BAA" w:rsidRPr="00A61BAA" w:rsidP="00A61B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space="0" w:color="auto"/>
        </w:pBdr>
        <w:autoSpaceDE w:val="0"/>
        <w:autoSpaceDN w:val="0"/>
        <w:spacing w:before="161" w:line="362" w:lineRule="auto"/>
        <w:ind w:left="115" w:right="256" w:firstLine="567"/>
        <w:jc w:val="both"/>
        <w:rPr>
          <w:rFonts w:ascii="Arial" w:eastAsia="Arial" w:hAnsi="Arial" w:cs="Arial"/>
          <w:color w:val="auto"/>
          <w:sz w:val="24"/>
          <w:szCs w:val="24"/>
          <w:bdr w:val="none" w:sz="0" w:space="0" w:color="auto"/>
          <w:lang w:eastAsia="en-US"/>
        </w:rPr>
      </w:pPr>
      <w:r w:rsidRPr="00A61BAA">
        <w:rPr>
          <w:rFonts w:ascii="Arial" w:eastAsia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Na podstawie art. 102 ust. 5 pkt 21 i 25 oraz art. 146 ust. 1 ustawy z dnia          27 sierpnia 2004 r. o świadczeniach opieki zdrowotnej finansowanych ze środków publicznych (Dz. U. z 2020 r. poz. 1398, z późn. </w:t>
      </w:r>
      <w:r w:rsidRPr="00A61BAA">
        <w:rPr>
          <w:rFonts w:ascii="Arial" w:eastAsia="Arial" w:hAnsi="Arial" w:cs="Arial"/>
          <w:color w:val="auto"/>
          <w:spacing w:val="2"/>
          <w:sz w:val="24"/>
          <w:szCs w:val="24"/>
          <w:bdr w:val="none" w:sz="0" w:space="0" w:color="auto"/>
          <w:lang w:eastAsia="en-US"/>
        </w:rPr>
        <w:t>zm</w:t>
      </w:r>
      <w:r w:rsidRPr="00A61BAA">
        <w:rPr>
          <w:rFonts w:ascii="Arial" w:eastAsia="Arial" w:hAnsi="Arial" w:cs="Arial"/>
          <w:color w:val="auto"/>
          <w:spacing w:val="2"/>
          <w:szCs w:val="24"/>
          <w:bdr w:val="none" w:sz="0" w:space="0" w:color="auto"/>
          <w:lang w:eastAsia="en-US"/>
        </w:rPr>
        <w:t>.</w:t>
      </w:r>
      <w:r>
        <w:rPr>
          <w:rStyle w:val="FootnoteReference"/>
          <w:rFonts w:ascii="Arial" w:eastAsia="Arial" w:hAnsi="Arial" w:cs="Arial"/>
          <w:color w:val="auto"/>
          <w:spacing w:val="2"/>
          <w:szCs w:val="24"/>
          <w:bdr w:val="none" w:sz="0" w:space="0" w:color="auto"/>
          <w:lang w:eastAsia="en-US"/>
        </w:rPr>
        <w:footnoteReference w:id="3"/>
      </w:r>
      <w:r w:rsidRPr="00A61BAA">
        <w:rPr>
          <w:rFonts w:ascii="Arial" w:eastAsia="Arial" w:hAnsi="Arial" w:cs="Arial"/>
          <w:color w:val="auto"/>
          <w:spacing w:val="2"/>
          <w:szCs w:val="24"/>
          <w:bdr w:val="none" w:sz="0" w:space="0" w:color="auto"/>
          <w:vertAlign w:val="superscript"/>
          <w:lang w:eastAsia="en-US"/>
        </w:rPr>
        <w:t>)</w:t>
      </w:r>
      <w:r w:rsidRPr="00A61BAA">
        <w:rPr>
          <w:rFonts w:ascii="Arial" w:eastAsia="Arial" w:hAnsi="Arial" w:cs="Arial"/>
          <w:color w:val="auto"/>
          <w:spacing w:val="2"/>
          <w:sz w:val="22"/>
          <w:szCs w:val="24"/>
          <w:bdr w:val="none" w:sz="0" w:space="0" w:color="auto"/>
          <w:lang w:eastAsia="en-US"/>
        </w:rPr>
        <w:t xml:space="preserve">) </w:t>
      </w:r>
      <w:r w:rsidRPr="00A61BAA">
        <w:rPr>
          <w:rFonts w:ascii="Arial" w:eastAsia="Arial" w:hAnsi="Arial" w:cs="Arial"/>
          <w:color w:val="auto"/>
          <w:sz w:val="24"/>
          <w:szCs w:val="24"/>
          <w:bdr w:val="none" w:sz="0" w:space="0" w:color="auto"/>
          <w:lang w:eastAsia="en-US"/>
        </w:rPr>
        <w:t>zarządza się, co</w:t>
      </w:r>
      <w:r w:rsidRPr="00A61BAA">
        <w:rPr>
          <w:rFonts w:ascii="Arial" w:eastAsia="Arial" w:hAnsi="Arial" w:cs="Arial"/>
          <w:color w:val="auto"/>
          <w:spacing w:val="-16"/>
          <w:sz w:val="24"/>
          <w:szCs w:val="24"/>
          <w:bdr w:val="none" w:sz="0" w:space="0" w:color="auto"/>
          <w:lang w:eastAsia="en-US"/>
        </w:rPr>
        <w:t xml:space="preserve"> </w:t>
      </w:r>
      <w:r w:rsidRPr="00A61BAA">
        <w:rPr>
          <w:rFonts w:ascii="Arial" w:eastAsia="Arial" w:hAnsi="Arial" w:cs="Arial"/>
          <w:color w:val="auto"/>
          <w:sz w:val="24"/>
          <w:szCs w:val="24"/>
          <w:bdr w:val="none" w:sz="0" w:space="0" w:color="auto"/>
          <w:lang w:eastAsia="en-US"/>
        </w:rPr>
        <w:t>następuje:</w:t>
      </w:r>
    </w:p>
    <w:p w:rsidR="00687E75" w:rsidRPr="006C7244" w:rsidP="00183A44">
      <w:pPr>
        <w:spacing w:line="360" w:lineRule="auto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A61BAA" w:rsidP="00763CCC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</w:pPr>
      <w:r w:rsidRPr="00A61BAA">
        <w:rPr>
          <w:rFonts w:ascii="Arial" w:eastAsia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 xml:space="preserve">§ </w:t>
      </w:r>
      <w:r w:rsidRPr="00A61BAA">
        <w:rPr>
          <w:rFonts w:ascii="Arial" w:eastAsia="Arial" w:hAnsi="Arial" w:cs="Arial"/>
          <w:b/>
          <w:color w:val="auto"/>
          <w:spacing w:val="3"/>
          <w:sz w:val="24"/>
          <w:szCs w:val="24"/>
          <w:bdr w:val="none" w:sz="0" w:space="0" w:color="auto"/>
          <w:lang w:eastAsia="en-US"/>
        </w:rPr>
        <w:t>1</w:t>
      </w:r>
      <w:r w:rsidRPr="00A61BA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. </w:t>
      </w:r>
      <w:r w:rsidRPr="00A61BAA">
        <w:rPr>
          <w:rFonts w:ascii="Arial" w:eastAsia="Arial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W </w:t>
      </w:r>
      <w:r w:rsidRPr="00A61BAA">
        <w:rPr>
          <w:rFonts w:ascii="Arial" w:eastAsia="Arial" w:hAnsi="Arial" w:cs="Arial"/>
          <w:color w:val="auto"/>
          <w:spacing w:val="5"/>
          <w:sz w:val="24"/>
          <w:szCs w:val="24"/>
          <w:bdr w:val="none" w:sz="0" w:space="0" w:color="auto"/>
          <w:lang w:eastAsia="en-US"/>
        </w:rPr>
        <w:t xml:space="preserve">zarządzeniu </w:t>
      </w:r>
      <w:r w:rsidRPr="00A61BA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Nr</w:t>
      </w:r>
      <w:r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</w:t>
      </w:r>
      <w:r w:rsidRPr="00A61BA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55/2021/DSOZ Prezesa</w:t>
      </w:r>
      <w:r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</w:t>
      </w:r>
      <w:r w:rsidRPr="00A61BA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Narodowego Funduszu Zdrowia</w:t>
      </w:r>
      <w:r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z dnia 31 marca 2021 r. </w:t>
      </w:r>
      <w:r w:rsidRPr="00A61BA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w sprawie określenia warunków zawierania i </w:t>
      </w:r>
      <w:r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A61BA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realizacji umów w rodzaju leczenie szpitalne oraz leczenie szpitalne – świadczenia wysokospecjalistyczne</w:t>
      </w:r>
      <w:r w:rsid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, 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w § 14 ust. 8 otrzymuje brzmienie:</w:t>
      </w:r>
    </w:p>
    <w:p w:rsidR="00A61BAA" w:rsidRPr="00763CCC" w:rsidP="00763CCC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</w:pPr>
      <w:r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„8. 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W odniesieniu do świadczeniobiorców, którym udzielane są świadczenia wyłącznie w OAiIT lub objętych koordynowaną opieką dla kobiet w ciąży na  drugim lub trzecim poziomie opieki perinatalnej (KOC II/III), lub objętych kompleksową opieką po zawale mięśnia sercowego (KOS – zawał)</w:t>
      </w:r>
      <w:r w:rsidRPr="00763CCC" w:rsidR="007654F6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,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lub objętych kompleksową opieką onkologiczną, rozliczanie świadczeń z </w:t>
      </w:r>
      <w:r w:rsidRPr="00763CCC" w:rsidR="001B7F52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zakresu anestezjologii i </w:t>
      </w:r>
      <w:r w:rsidRPr="00763CCC" w:rsidR="0069479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intensywnej terapii odbywa się odpowiednio przez produkt: 5.52.01.0001467 – Hospitalizacja wyłącznie w Oddziale Anestezjologii i </w:t>
      </w:r>
      <w:r w:rsidRPr="00763CCC" w:rsidR="00DA5B59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Intensywnej Terapii lub produkt: 5.52.01.0001506 – Hospitalizacja świadczeniobiorcy KOC II/III w Oddziale Anestezjologii i </w:t>
      </w:r>
      <w:r w:rsidRPr="00763CCC" w:rsidR="001B7F52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Intensywnej Terapii, lub produkt: 5.52.01.0001527 – Hospitalizacja świadczeniobiorcy KOS – zawał w Oddziale Anestezjologii i Intensywnej Terapii</w:t>
      </w:r>
      <w:r w:rsidRPr="00763CCC" w:rsidR="007654F6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,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lub produkt: 5.52.01.0001537 – Hospitalizacja świadczeniobiorcy onkologicznego świadczenia kompleksowego w </w:t>
      </w:r>
      <w:r w:rsidRPr="00763CCC" w:rsidR="004119C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Oddziale Anestezjologii i </w:t>
      </w:r>
      <w:r w:rsidRPr="00763CCC" w:rsidR="001B7F52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Intensywnej Terapii</w:t>
      </w:r>
      <w:r w:rsidRPr="00763CCC" w:rsidR="007654F6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,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lub produkt: 5.52.01.0001529 Hospitalizacja do </w:t>
      </w:r>
      <w:r w:rsidRPr="00763CCC" w:rsidR="001B7F52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świadczenia wysokospecjalistycznego w Oddziale Anestezjologii i </w:t>
      </w:r>
      <w:r w:rsidRPr="00763CCC" w:rsidR="001B7F52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Intensywnej Terapii z </w:t>
      </w:r>
      <w:r w:rsidRPr="00763CCC" w:rsidR="00B95456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katalogu produktów odrębnych, stanowiącego załącznik nr 1b do </w:t>
      </w:r>
      <w:r w:rsidRPr="00763CCC" w:rsidR="00B95456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zarządzenia oraz, ewentualnie łącznego rozliczenia innych produktów 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dopuszczonych do </w:t>
      </w:r>
      <w:r w:rsidRPr="00763CCC" w:rsidR="004119C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sumowania w OAiIT z katalogu produktów do </w:t>
      </w:r>
      <w:r w:rsidRPr="00763CCC" w:rsidR="00B95456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sumowania, stanowiącego załącznik nr 1c do zarządzenia. Niezależnie od powyższego, do rozliczenia wykazuje się odrębnie dla każdego dnia pobytu produkty związane z oceną stanu pacjenta w skali TISS – 28 lub TISS – 28 dla dzieci z katalogu produktów do rozliczenia świadczeń udzielanych w OAiIT, stanowiącego załącznik nr 1ts do </w:t>
      </w:r>
      <w:r w:rsidRPr="00763CCC" w:rsidR="001B7F52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 </w:t>
      </w:r>
      <w:r w:rsidRPr="00763CCC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zarządzenia.</w:t>
      </w:r>
      <w:r w:rsidRPr="00763CCC" w:rsidR="004119C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”.</w:t>
      </w:r>
    </w:p>
    <w:p w:rsidR="004119CA" w:rsidP="00A61BAA">
      <w:pPr>
        <w:pStyle w:val="ListParagraph"/>
        <w:widowControl/>
        <w:spacing w:line="360" w:lineRule="auto"/>
        <w:ind w:left="1069"/>
        <w:jc w:val="both"/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</w:pPr>
    </w:p>
    <w:p w:rsidR="004119CA" w:rsidRPr="00A61BAA" w:rsidP="00403344">
      <w:pPr>
        <w:widowControl/>
        <w:spacing w:line="360" w:lineRule="auto"/>
        <w:ind w:left="360" w:firstLine="709"/>
        <w:jc w:val="both"/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</w:pPr>
      <w:r>
        <w:rPr>
          <w:rFonts w:ascii="Arial" w:eastAsia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>§ 2</w:t>
      </w:r>
      <w:r w:rsidRPr="004119CA">
        <w:rPr>
          <w:rFonts w:ascii="Arial" w:eastAsia="Arial" w:hAnsi="Arial" w:cs="Arial"/>
          <w:b/>
          <w:color w:val="auto"/>
          <w:sz w:val="24"/>
          <w:szCs w:val="24"/>
          <w:bdr w:val="none" w:sz="0" w:space="0" w:color="auto"/>
          <w:lang w:eastAsia="en-US"/>
        </w:rPr>
        <w:t xml:space="preserve">. </w:t>
      </w:r>
      <w:r w:rsidRPr="004119CA">
        <w:rPr>
          <w:rFonts w:ascii="Arial" w:eastAsia="Arial" w:hAnsi="Arial" w:cs="Arial"/>
          <w:color w:val="auto"/>
          <w:sz w:val="24"/>
          <w:szCs w:val="24"/>
          <w:bdr w:val="none" w:sz="0" w:space="0" w:color="auto"/>
          <w:lang w:eastAsia="en-US"/>
        </w:rPr>
        <w:t>Zarządzenie</w:t>
      </w:r>
      <w:r w:rsidRPr="004119C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wchodzi w życie </w:t>
      </w:r>
      <w:r w:rsidR="008A27AD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z dniem</w:t>
      </w:r>
      <w:r w:rsidRPr="004119C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 xml:space="preserve"> </w:t>
      </w:r>
      <w:r w:rsidRPr="0069479A"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  <w:t>1 czerwca 2021 r.</w:t>
      </w:r>
    </w:p>
    <w:p w:rsidR="00A61BAA" w:rsidRPr="00A61BAA" w:rsidP="00A61BAA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pacing w:val="3"/>
          <w:sz w:val="24"/>
          <w:szCs w:val="24"/>
          <w:bdr w:val="none" w:sz="0" w:space="0" w:color="auto"/>
          <w:lang w:eastAsia="en-US"/>
        </w:rPr>
      </w:pPr>
    </w:p>
    <w:p w:rsidR="00EF13A3" w:rsidRPr="00A61BAA" w:rsidP="0006056E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EF13A3" w:rsidRPr="006C7244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 w:rsidR="00432AEA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0A7CE7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>
        <w:rPr>
          <w:rFonts w:ascii="Arial" w:hAnsi="Arial"/>
          <w:bCs/>
          <w:color w:val="auto"/>
          <w:sz w:val="24"/>
          <w:szCs w:val="24"/>
        </w:rPr>
        <w:t>Bernard Waśko</w:t>
      </w:r>
    </w:p>
    <w:p w:rsidR="00BD2439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 w:rsidR="000A7CE7">
        <w:rPr>
          <w:rFonts w:ascii="Arial" w:hAnsi="Arial"/>
          <w:bCs/>
          <w:color w:val="auto"/>
          <w:sz w:val="24"/>
          <w:szCs w:val="24"/>
        </w:rPr>
        <w:t xml:space="preserve">W zastępstwie </w:t>
      </w:r>
      <w:r w:rsidR="001520D0">
        <w:rPr>
          <w:rFonts w:ascii="Arial" w:hAnsi="Arial"/>
          <w:bCs/>
          <w:color w:val="auto"/>
          <w:sz w:val="24"/>
          <w:szCs w:val="24"/>
        </w:rPr>
        <w:t>p.o. PREZESA NFZ</w:t>
      </w: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p w:rsidR="00A61BAA" w:rsidRPr="00A61BA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</w:p>
    <w:sectPr w:rsidSect="00595BCA">
      <w:footerReference w:type="default" r:id="rId6"/>
      <w:footerReference w:type="first" r:id="rId7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30AD0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990366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3C75">
    <w:pPr>
      <w:pStyle w:val="Footer"/>
      <w:jc w:val="right"/>
    </w:pPr>
  </w:p>
  <w:p w:rsidR="000837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396170">
      <w:r>
        <w:separator/>
      </w:r>
    </w:p>
  </w:footnote>
  <w:footnote w:type="continuationSeparator" w:id="1">
    <w:p w:rsidR="00396170">
      <w:r>
        <w:continuationSeparator/>
      </w:r>
    </w:p>
  </w:footnote>
  <w:footnote w:type="continuationNotice" w:id="2">
    <w:p w:rsidR="00396170"/>
  </w:footnote>
  <w:footnote w:id="3">
    <w:p w:rsidR="00A61BAA" w:rsidRPr="0013470C" w:rsidP="00E75B00">
      <w:pPr>
        <w:pStyle w:val="FootnoteText"/>
        <w:jc w:val="both"/>
        <w:rPr>
          <w:rFonts w:ascii="Arial" w:hAnsi="Arial" w:cs="Arial"/>
        </w:rPr>
      </w:pPr>
      <w:r w:rsidRPr="0013470C">
        <w:rPr>
          <w:rStyle w:val="FootnoteReference"/>
          <w:rFonts w:ascii="Arial" w:hAnsi="Arial" w:cs="Arial"/>
        </w:rPr>
        <w:footnoteRef/>
      </w:r>
      <w:r w:rsidR="00183A44">
        <w:rPr>
          <w:rFonts w:ascii="Arial" w:hAnsi="Arial" w:cs="Arial"/>
          <w:vertAlign w:val="superscript"/>
        </w:rPr>
        <w:t xml:space="preserve">) </w:t>
      </w:r>
      <w:r w:rsidRPr="0013470C">
        <w:rPr>
          <w:rFonts w:ascii="Arial" w:hAnsi="Arial" w:cs="Arial"/>
        </w:rPr>
        <w:t>Zmiany tekstu jednolitego wymienionej ustawy zostały ogłoszone w Dz. U. z 2020 r. poz. 1492, 1493, 1578, 1875, 2112,</w:t>
      </w:r>
      <w:r w:rsidRPr="0013470C" w:rsidR="00B95456">
        <w:rPr>
          <w:rFonts w:ascii="Arial" w:hAnsi="Arial" w:cs="Arial"/>
        </w:rPr>
        <w:t xml:space="preserve"> </w:t>
      </w:r>
      <w:r w:rsidRPr="0013470C">
        <w:rPr>
          <w:rFonts w:ascii="Arial" w:hAnsi="Arial" w:cs="Arial"/>
        </w:rPr>
        <w:t>2345</w:t>
      </w:r>
      <w:r w:rsidRPr="0013470C" w:rsidR="0013470C">
        <w:rPr>
          <w:rFonts w:ascii="Arial" w:hAnsi="Arial" w:cs="Arial"/>
        </w:rPr>
        <w:t xml:space="preserve"> i 2401 oraz z 2021 r. poz. 97, </w:t>
      </w:r>
      <w:r w:rsidRPr="0013470C">
        <w:rPr>
          <w:rFonts w:ascii="Arial" w:hAnsi="Arial" w:cs="Arial"/>
        </w:rPr>
        <w:t>159</w:t>
      </w:r>
      <w:r w:rsidRPr="0013470C" w:rsidR="0013470C">
        <w:rPr>
          <w:rFonts w:ascii="Arial" w:hAnsi="Arial" w:cs="Arial"/>
        </w:rPr>
        <w:t xml:space="preserve"> i 694</w:t>
      </w:r>
      <w:r w:rsidRPr="0013470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23A94"/>
    <w:multiLevelType w:val="hybridMultilevel"/>
    <w:tmpl w:val="24E2711E"/>
    <w:lvl w:ilvl="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40" w:hanging="360"/>
      </w:pPr>
    </w:lvl>
    <w:lvl w:ilvl="2" w:tentative="1">
      <w:start w:val="1"/>
      <w:numFmt w:val="lowerRoman"/>
      <w:lvlText w:val="%3."/>
      <w:lvlJc w:val="right"/>
      <w:pPr>
        <w:ind w:left="2660" w:hanging="180"/>
      </w:pPr>
    </w:lvl>
    <w:lvl w:ilvl="3" w:tentative="1">
      <w:start w:val="1"/>
      <w:numFmt w:val="decimal"/>
      <w:lvlText w:val="%4."/>
      <w:lvlJc w:val="left"/>
      <w:pPr>
        <w:ind w:left="3380" w:hanging="360"/>
      </w:pPr>
    </w:lvl>
    <w:lvl w:ilvl="4" w:tentative="1">
      <w:start w:val="1"/>
      <w:numFmt w:val="lowerLetter"/>
      <w:lvlText w:val="%5."/>
      <w:lvlJc w:val="left"/>
      <w:pPr>
        <w:ind w:left="4100" w:hanging="360"/>
      </w:pPr>
    </w:lvl>
    <w:lvl w:ilvl="5" w:tentative="1">
      <w:start w:val="1"/>
      <w:numFmt w:val="lowerRoman"/>
      <w:lvlText w:val="%6."/>
      <w:lvlJc w:val="right"/>
      <w:pPr>
        <w:ind w:left="4820" w:hanging="180"/>
      </w:pPr>
    </w:lvl>
    <w:lvl w:ilvl="6" w:tentative="1">
      <w:start w:val="1"/>
      <w:numFmt w:val="decimal"/>
      <w:lvlText w:val="%7."/>
      <w:lvlJc w:val="left"/>
      <w:pPr>
        <w:ind w:left="5540" w:hanging="360"/>
      </w:pPr>
    </w:lvl>
    <w:lvl w:ilvl="7" w:tentative="1">
      <w:start w:val="1"/>
      <w:numFmt w:val="lowerLetter"/>
      <w:lvlText w:val="%8."/>
      <w:lvlJc w:val="left"/>
      <w:pPr>
        <w:ind w:left="6260" w:hanging="360"/>
      </w:pPr>
    </w:lvl>
    <w:lvl w:ilvl="8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>
    <w:nsid w:val="01566373"/>
    <w:multiLevelType w:val="hybridMultilevel"/>
    <w:tmpl w:val="739CC6B6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D44B0C"/>
    <w:multiLevelType w:val="hybridMultilevel"/>
    <w:tmpl w:val="4FD291AE"/>
    <w:lvl w:ilvl="0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5326BF8"/>
    <w:multiLevelType w:val="hybridMultilevel"/>
    <w:tmpl w:val="A88EE3B0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F30B4B"/>
    <w:multiLevelType w:val="hybridMultilevel"/>
    <w:tmpl w:val="C39256E2"/>
    <w:lvl w:ilvl="0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8029AF"/>
    <w:multiLevelType w:val="hybridMultilevel"/>
    <w:tmpl w:val="26F0496E"/>
    <w:lvl w:ilvl="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F736BA"/>
    <w:multiLevelType w:val="hybridMultilevel"/>
    <w:tmpl w:val="034E0970"/>
    <w:numStyleLink w:val="Zaimportowanystyl3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7">
    <w:nsid w:val="1DF45990"/>
    <w:multiLevelType w:val="hybridMultilevel"/>
    <w:tmpl w:val="48D69FDA"/>
    <w:lvl w:ilvl="0">
      <w:start w:val="1"/>
      <w:numFmt w:val="decimal"/>
      <w:lvlText w:val="%1.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1160853"/>
    <w:multiLevelType w:val="hybridMultilevel"/>
    <w:tmpl w:val="D6840528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EF1175"/>
    <w:multiLevelType w:val="hybridMultilevel"/>
    <w:tmpl w:val="1CB48134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373293"/>
    <w:multiLevelType w:val="hybridMultilevel"/>
    <w:tmpl w:val="FA20459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227566"/>
    <w:multiLevelType w:val="hybridMultilevel"/>
    <w:tmpl w:val="3236973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730154E"/>
    <w:multiLevelType w:val="hybridMultilevel"/>
    <w:tmpl w:val="45E838BC"/>
    <w:lvl w:ilvl="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017F8"/>
    <w:multiLevelType w:val="hybridMultilevel"/>
    <w:tmpl w:val="1CA0910C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931679B"/>
    <w:multiLevelType w:val="hybridMultilevel"/>
    <w:tmpl w:val="565EEBCE"/>
    <w:lvl w:ilvl="0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3B4C4D"/>
    <w:multiLevelType w:val="hybridMultilevel"/>
    <w:tmpl w:val="C7FA4FDC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E79C2"/>
    <w:multiLevelType w:val="hybridMultilevel"/>
    <w:tmpl w:val="1E589BA4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E4AEA"/>
    <w:multiLevelType w:val="hybridMultilevel"/>
    <w:tmpl w:val="B5AC179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9C6E83"/>
    <w:multiLevelType w:val="hybridMultilevel"/>
    <w:tmpl w:val="4F70DCF0"/>
    <w:lvl w:ilvl="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E32769C"/>
    <w:multiLevelType w:val="hybridMultilevel"/>
    <w:tmpl w:val="CC4C225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85E65"/>
    <w:multiLevelType w:val="hybridMultilevel"/>
    <w:tmpl w:val="1CA0910C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32EA7425"/>
    <w:multiLevelType w:val="hybridMultilevel"/>
    <w:tmpl w:val="B8201E9A"/>
    <w:lvl w:ilvl="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0A3401"/>
    <w:multiLevelType w:val="hybridMultilevel"/>
    <w:tmpl w:val="7AA6D7B6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0A5CB5"/>
    <w:multiLevelType w:val="hybridMultilevel"/>
    <w:tmpl w:val="C7EC4664"/>
    <w:lvl w:ilvl="0">
      <w:start w:val="1"/>
      <w:numFmt w:val="decimal"/>
      <w:lvlText w:val="%1."/>
      <w:lvlJc w:val="left"/>
      <w:pPr>
        <w:ind w:left="1353" w:hanging="360"/>
      </w:pPr>
    </w:lvl>
    <w:lvl w:ilvl="1" w:tentative="1">
      <w:start w:val="1"/>
      <w:numFmt w:val="lowerLetter"/>
      <w:lvlText w:val="%2."/>
      <w:lvlJc w:val="left"/>
      <w:pPr>
        <w:ind w:left="2073" w:hanging="360"/>
      </w:pPr>
    </w:lvl>
    <w:lvl w:ilvl="2" w:tentative="1">
      <w:start w:val="1"/>
      <w:numFmt w:val="lowerRoman"/>
      <w:lvlText w:val="%3."/>
      <w:lvlJc w:val="right"/>
      <w:pPr>
        <w:ind w:left="2793" w:hanging="180"/>
      </w:pPr>
    </w:lvl>
    <w:lvl w:ilvl="3" w:tentative="1">
      <w:start w:val="1"/>
      <w:numFmt w:val="decimal"/>
      <w:lvlText w:val="%4."/>
      <w:lvlJc w:val="left"/>
      <w:pPr>
        <w:ind w:left="3513" w:hanging="360"/>
      </w:pPr>
    </w:lvl>
    <w:lvl w:ilvl="4" w:tentative="1">
      <w:start w:val="1"/>
      <w:numFmt w:val="lowerLetter"/>
      <w:lvlText w:val="%5."/>
      <w:lvlJc w:val="left"/>
      <w:pPr>
        <w:ind w:left="4233" w:hanging="360"/>
      </w:pPr>
    </w:lvl>
    <w:lvl w:ilvl="5" w:tentative="1">
      <w:start w:val="1"/>
      <w:numFmt w:val="lowerRoman"/>
      <w:lvlText w:val="%6."/>
      <w:lvlJc w:val="right"/>
      <w:pPr>
        <w:ind w:left="4953" w:hanging="180"/>
      </w:pPr>
    </w:lvl>
    <w:lvl w:ilvl="6" w:tentative="1">
      <w:start w:val="1"/>
      <w:numFmt w:val="decimal"/>
      <w:lvlText w:val="%7."/>
      <w:lvlJc w:val="left"/>
      <w:pPr>
        <w:ind w:left="5673" w:hanging="360"/>
      </w:pPr>
    </w:lvl>
    <w:lvl w:ilvl="7" w:tentative="1">
      <w:start w:val="1"/>
      <w:numFmt w:val="lowerLetter"/>
      <w:lvlText w:val="%8."/>
      <w:lvlJc w:val="left"/>
      <w:pPr>
        <w:ind w:left="6393" w:hanging="360"/>
      </w:pPr>
    </w:lvl>
    <w:lvl w:ilvl="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3DB46D25"/>
    <w:multiLevelType w:val="hybridMultilevel"/>
    <w:tmpl w:val="034E0970"/>
    <w:styleLink w:val="Zaimportowanystyl3"/>
    <w:lvl w:ilvl="0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2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5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</w:abstractNum>
  <w:abstractNum w:abstractNumId="25">
    <w:nsid w:val="448273B3"/>
    <w:multiLevelType w:val="hybridMultilevel"/>
    <w:tmpl w:val="125CB2A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E624951"/>
    <w:multiLevelType w:val="hybridMultilevel"/>
    <w:tmpl w:val="6BC62D08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2170A98"/>
    <w:multiLevelType w:val="hybridMultilevel"/>
    <w:tmpl w:val="C58654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E410E6"/>
    <w:multiLevelType w:val="hybridMultilevel"/>
    <w:tmpl w:val="FDD45066"/>
    <w:lvl w:ilvl="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1721DD4"/>
    <w:multiLevelType w:val="hybridMultilevel"/>
    <w:tmpl w:val="FC4A5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A13C8A"/>
    <w:multiLevelType w:val="hybridMultilevel"/>
    <w:tmpl w:val="EA62611C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6F32ACA"/>
    <w:multiLevelType w:val="hybridMultilevel"/>
    <w:tmpl w:val="86F614B0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7F41E1"/>
    <w:multiLevelType w:val="hybridMultilevel"/>
    <w:tmpl w:val="4954731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EA005E1"/>
    <w:multiLevelType w:val="hybridMultilevel"/>
    <w:tmpl w:val="80628C66"/>
    <w:lvl w:ilvl="0">
      <w:start w:val="1"/>
      <w:numFmt w:val="decimal"/>
      <w:lvlText w:val="%1."/>
      <w:lvlJc w:val="left"/>
      <w:pPr>
        <w:ind w:left="1788" w:hanging="360"/>
      </w:pPr>
    </w:lvl>
    <w:lvl w:ilvl="1" w:tentative="1">
      <w:start w:val="1"/>
      <w:numFmt w:val="lowerLetter"/>
      <w:lvlText w:val="%2."/>
      <w:lvlJc w:val="left"/>
      <w:pPr>
        <w:ind w:left="2508" w:hanging="360"/>
      </w:pPr>
    </w:lvl>
    <w:lvl w:ilvl="2" w:tentative="1">
      <w:start w:val="1"/>
      <w:numFmt w:val="lowerRoman"/>
      <w:lvlText w:val="%3."/>
      <w:lvlJc w:val="right"/>
      <w:pPr>
        <w:ind w:left="3228" w:hanging="180"/>
      </w:pPr>
    </w:lvl>
    <w:lvl w:ilvl="3" w:tentative="1">
      <w:start w:val="1"/>
      <w:numFmt w:val="decimal"/>
      <w:lvlText w:val="%4."/>
      <w:lvlJc w:val="left"/>
      <w:pPr>
        <w:ind w:left="3948" w:hanging="360"/>
      </w:pPr>
    </w:lvl>
    <w:lvl w:ilvl="4" w:tentative="1">
      <w:start w:val="1"/>
      <w:numFmt w:val="lowerLetter"/>
      <w:lvlText w:val="%5."/>
      <w:lvlJc w:val="left"/>
      <w:pPr>
        <w:ind w:left="4668" w:hanging="360"/>
      </w:pPr>
    </w:lvl>
    <w:lvl w:ilvl="5" w:tentative="1">
      <w:start w:val="1"/>
      <w:numFmt w:val="lowerRoman"/>
      <w:lvlText w:val="%6."/>
      <w:lvlJc w:val="right"/>
      <w:pPr>
        <w:ind w:left="5388" w:hanging="180"/>
      </w:pPr>
    </w:lvl>
    <w:lvl w:ilvl="6" w:tentative="1">
      <w:start w:val="1"/>
      <w:numFmt w:val="decimal"/>
      <w:lvlText w:val="%7."/>
      <w:lvlJc w:val="left"/>
      <w:pPr>
        <w:ind w:left="6108" w:hanging="360"/>
      </w:pPr>
    </w:lvl>
    <w:lvl w:ilvl="7" w:tentative="1">
      <w:start w:val="1"/>
      <w:numFmt w:val="lowerLetter"/>
      <w:lvlText w:val="%8."/>
      <w:lvlJc w:val="left"/>
      <w:pPr>
        <w:ind w:left="6828" w:hanging="360"/>
      </w:pPr>
    </w:lvl>
    <w:lvl w:ilvl="8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>
    <w:nsid w:val="7F21769E"/>
    <w:multiLevelType w:val="hybridMultilevel"/>
    <w:tmpl w:val="BB48303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4"/>
  </w:num>
  <w:num w:numId="6">
    <w:abstractNumId w:val="1"/>
  </w:num>
  <w:num w:numId="7">
    <w:abstractNumId w:val="27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3"/>
  </w:num>
  <w:num w:numId="18">
    <w:abstractNumId w:val="10"/>
  </w:num>
  <w:num w:numId="19">
    <w:abstractNumId w:val="32"/>
  </w:num>
  <w:num w:numId="20">
    <w:abstractNumId w:val="0"/>
  </w:num>
  <w:num w:numId="21">
    <w:abstractNumId w:val="9"/>
  </w:num>
  <w:num w:numId="22">
    <w:abstractNumId w:val="28"/>
  </w:num>
  <w:num w:numId="23">
    <w:abstractNumId w:val="15"/>
  </w:num>
  <w:num w:numId="24">
    <w:abstractNumId w:val="12"/>
  </w:num>
  <w:num w:numId="25">
    <w:abstractNumId w:val="29"/>
  </w:num>
  <w:num w:numId="26">
    <w:abstractNumId w:val="17"/>
  </w:num>
  <w:num w:numId="27">
    <w:abstractNumId w:val="18"/>
  </w:num>
  <w:num w:numId="28">
    <w:abstractNumId w:val="11"/>
  </w:num>
  <w:num w:numId="29">
    <w:abstractNumId w:val="30"/>
  </w:num>
  <w:num w:numId="30">
    <w:abstractNumId w:val="21"/>
  </w:num>
  <w:num w:numId="31">
    <w:abstractNumId w:val="14"/>
  </w:num>
  <w:num w:numId="32">
    <w:abstractNumId w:val="16"/>
  </w:num>
  <w:num w:numId="33">
    <w:abstractNumId w:val="26"/>
  </w:num>
  <w:num w:numId="34">
    <w:abstractNumId w:val="31"/>
  </w:num>
  <w:num w:numId="35">
    <w:abstractNumId w:val="5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evenAndOddHeaders/>
  <w:characterSpacingControl w:val="doNotCompress"/>
  <w:footnotePr>
    <w:footnote w:id="0"/>
    <w:footnote w:id="1"/>
    <w:footnote w:id="2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ooter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FootnoteText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BalloonText">
    <w:name w:val="Balloon Text"/>
    <w:basedOn w:val="Normal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ListParagraph">
    <w:name w:val="List Paragraph"/>
    <w:basedOn w:val="Normal"/>
    <w:uiPriority w:val="34"/>
    <w:qFormat/>
    <w:rsid w:val="004B52B9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efaultParagraphFont"/>
    <w:link w:val="FootnoteText"/>
    <w:rsid w:val="006659BF"/>
    <w:rPr>
      <w:rFonts w:eastAsia="Times New Roman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6447D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line="360" w:lineRule="auto"/>
      <w:contextualSpacing/>
      <w:jc w:val="both"/>
    </w:pPr>
    <w:rPr>
      <w:rFonts w:ascii="Arial" w:hAnsi="Arial" w:eastAsia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efaultParagraphFont"/>
    <w:link w:val="pismamz"/>
    <w:rsid w:val="0096447D"/>
    <w:rPr>
      <w:rFonts w:ascii="Arial" w:hAnsi="Arial" w:eastAsiaTheme="minorHAnsi" w:cstheme="minorBidi"/>
      <w:sz w:val="22"/>
      <w:szCs w:val="22"/>
      <w:u w:color="000000"/>
      <w:bdr w:val="none" w:sz="0" w:space="0" w:color="auto"/>
      <w:lang w:eastAsia="en-US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uppressAutoHyphens/>
      <w:spacing w:before="120" w:after="360" w:line="360" w:lineRule="auto"/>
      <w:jc w:val="center"/>
      <w:outlineLvl w:val="0"/>
    </w:pPr>
    <w:rPr>
      <w:rFonts w:ascii="Times" w:hAnsi="Times" w:eastAsiaTheme="minorEastAsia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412D1B"/>
    <w:rPr>
      <w:rFonts w:cs="Arial Unicode MS"/>
      <w:color w:val="000000"/>
      <w:u w:color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412D1B"/>
    <w:rPr>
      <w:vertAlign w:val="superscript"/>
    </w:rPr>
  </w:style>
  <w:style w:type="paragraph" w:styleId="Header">
    <w:name w:val="header"/>
    <w:basedOn w:val="Normal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efaultParagraphFont"/>
    <w:link w:val="Footer"/>
    <w:uiPriority w:val="99"/>
    <w:rsid w:val="007C3C75"/>
    <w:rPr>
      <w:rFonts w:cs="Arial Unicode MS"/>
      <w:color w:val="000000"/>
      <w:u w:color="000000"/>
    </w:rPr>
  </w:style>
  <w:style w:type="paragraph" w:styleId="Revision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</w:pPr>
    <w:rPr>
      <w:rFonts w:cs="Arial Unicode MS"/>
      <w:color w:val="000000"/>
      <w:u w:color="000000"/>
    </w:rPr>
  </w:style>
  <w:style w:type="character" w:styleId="PlaceholderText">
    <w:name w:val="Placeholder Text"/>
    <w:basedOn w:val="DefaultParagraphFont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glossaryDocument" Target="glossary/document.xml" /><Relationship Id="rId9" Type="http://schemas.openxmlformats.org/officeDocument/2006/relationships/theme" Target="theme/theme1.xm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P="004151FE">
          <w:pPr>
            <w:pStyle w:val="18002166EBDF4DD8A80E470B9A5B68C36"/>
          </w:pPr>
          <w:r w:rsidRPr="00726FB5">
            <w:rPr>
              <w:rStyle w:val="PlaceholderText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P="004151FE">
          <w:pPr>
            <w:pStyle w:val="42D7877B8A1F4464A0C1394D712A38E35"/>
          </w:pPr>
          <w:r w:rsidRPr="00726FB5">
            <w:rPr>
              <w:rStyle w:val="PlaceholderText"/>
              <w:highlight w:val="yellow"/>
            </w:rPr>
            <w:t>komórka</w:t>
          </w:r>
        </w:p>
      </w:docPartBody>
    </w:docPart>
    <w:docPart>
      <w:docPartPr>
        <w:name w:val="E85108784DF143E19203DFE80BD67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C31ECB-F847-4E4F-94FC-8508E3087492}"/>
      </w:docPartPr>
      <w:docPartBody>
        <w:p w:rsidR="00790120" w:rsidP="004151FE">
          <w:pPr>
            <w:pStyle w:val="E85108784DF143E19203DFE80BD679943"/>
          </w:pPr>
          <w:r w:rsidRPr="00726FB5">
            <w:rPr>
              <w:rFonts w:ascii="Arial" w:hAnsi="Arial"/>
              <w:b/>
              <w:bCs/>
              <w:color w:val="auto"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17F7-5AD0-45DD-BFEC-4F179FA2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Mysińska Monika</cp:lastModifiedBy>
  <cp:revision>10</cp:revision>
  <cp:lastPrinted>2021-05-27T10:20:00Z</cp:lastPrinted>
  <dcterms:created xsi:type="dcterms:W3CDTF">2021-05-24T09:45:00Z</dcterms:created>
  <dcterms:modified xsi:type="dcterms:W3CDTF">2021-05-27T11:43:00Z</dcterms:modified>
</cp:coreProperties>
</file>