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307B0" w14:textId="77777777" w:rsidR="006C14FF" w:rsidRPr="003720C4" w:rsidRDefault="002542AB" w:rsidP="00661C06">
      <w:pPr>
        <w:tabs>
          <w:tab w:val="left" w:pos="4536"/>
        </w:tabs>
        <w:jc w:val="center"/>
        <w:rPr>
          <w:rFonts w:ascii="Arial" w:hAnsi="Arial" w:cs="Arial"/>
          <w:b/>
        </w:rPr>
      </w:pPr>
      <w:bookmarkStart w:id="0" w:name="_GoBack"/>
      <w:bookmarkEnd w:id="0"/>
      <w:r w:rsidRPr="003720C4">
        <w:rPr>
          <w:rFonts w:ascii="Arial" w:hAnsi="Arial" w:cs="Arial"/>
          <w:b/>
        </w:rPr>
        <w:t>Uzasadnienie</w:t>
      </w:r>
    </w:p>
    <w:p w14:paraId="0821A413" w14:textId="77777777" w:rsidR="00490694" w:rsidRPr="003720C4" w:rsidRDefault="00490694" w:rsidP="00661C06">
      <w:pPr>
        <w:tabs>
          <w:tab w:val="left" w:pos="4536"/>
        </w:tabs>
        <w:spacing w:line="360" w:lineRule="auto"/>
        <w:jc w:val="both"/>
        <w:rPr>
          <w:rFonts w:ascii="Arial" w:hAnsi="Arial" w:cs="Arial"/>
          <w:bCs/>
        </w:rPr>
      </w:pPr>
    </w:p>
    <w:p w14:paraId="3D5A8830" w14:textId="29485867" w:rsidR="00BE58A8" w:rsidRDefault="00BE58A8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3720C4">
        <w:rPr>
          <w:rFonts w:ascii="Arial" w:hAnsi="Arial" w:cs="Arial"/>
        </w:rPr>
        <w:t xml:space="preserve">Zarządzenie stanowi realizację upoważnienia ustawowego zawartego </w:t>
      </w:r>
      <w:r w:rsidR="009F118D" w:rsidRPr="003720C4">
        <w:rPr>
          <w:rFonts w:ascii="Arial" w:hAnsi="Arial" w:cs="Arial"/>
        </w:rPr>
        <w:br/>
      </w:r>
      <w:r w:rsidRPr="003720C4">
        <w:rPr>
          <w:rFonts w:ascii="Arial" w:hAnsi="Arial" w:cs="Arial"/>
        </w:rPr>
        <w:t>w art. 146 ust.1 ustawy z dnia 27 sierpnia 2004 r. o świadczeniach opieki zdrowotnej finansowanych ze środków publicznych (</w:t>
      </w:r>
      <w:r w:rsidR="0077248E" w:rsidRPr="003720C4">
        <w:rPr>
          <w:rFonts w:ascii="Arial" w:hAnsi="Arial" w:cs="Arial"/>
        </w:rPr>
        <w:t>Dz. U. z 20</w:t>
      </w:r>
      <w:r w:rsidR="0030249C" w:rsidRPr="003720C4">
        <w:rPr>
          <w:rFonts w:ascii="Arial" w:hAnsi="Arial" w:cs="Arial"/>
        </w:rPr>
        <w:t>20</w:t>
      </w:r>
      <w:r w:rsidR="0077248E" w:rsidRPr="003720C4">
        <w:rPr>
          <w:rFonts w:ascii="Arial" w:hAnsi="Arial" w:cs="Arial"/>
        </w:rPr>
        <w:t xml:space="preserve"> r. poz. 13</w:t>
      </w:r>
      <w:r w:rsidR="0030249C" w:rsidRPr="003720C4">
        <w:rPr>
          <w:rFonts w:ascii="Arial" w:hAnsi="Arial" w:cs="Arial"/>
        </w:rPr>
        <w:t>98</w:t>
      </w:r>
      <w:r w:rsidR="001C7D05">
        <w:rPr>
          <w:rFonts w:ascii="Arial" w:hAnsi="Arial" w:cs="Arial"/>
        </w:rPr>
        <w:t>,</w:t>
      </w:r>
      <w:r w:rsidR="007C16F9" w:rsidRPr="003720C4">
        <w:rPr>
          <w:rFonts w:ascii="Arial" w:hAnsi="Arial" w:cs="Arial"/>
        </w:rPr>
        <w:t xml:space="preserve"> z późn. zm.</w:t>
      </w:r>
      <w:r w:rsidR="0030249C" w:rsidRPr="003720C4">
        <w:rPr>
          <w:rFonts w:ascii="Arial" w:hAnsi="Arial" w:cs="Arial"/>
        </w:rPr>
        <w:t xml:space="preserve">) </w:t>
      </w:r>
      <w:r w:rsidRPr="003720C4">
        <w:rPr>
          <w:rFonts w:ascii="Arial" w:hAnsi="Arial" w:cs="Arial"/>
        </w:rPr>
        <w:t>zwanej dalej „ustawą o świadczeniach”.</w:t>
      </w:r>
    </w:p>
    <w:p w14:paraId="767D1F47" w14:textId="1DC5E92E" w:rsidR="00C93C36" w:rsidRDefault="00C93C36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3C52E1">
        <w:rPr>
          <w:rFonts w:ascii="Arial" w:hAnsi="Arial" w:cs="Arial"/>
        </w:rPr>
        <w:t>Zmiany wprowadzone niniejszym zarządzeniem do zarządzenia Nr </w:t>
      </w:r>
      <w:r w:rsidR="00B45EBB">
        <w:rPr>
          <w:rFonts w:ascii="Arial" w:hAnsi="Arial" w:cs="Arial"/>
        </w:rPr>
        <w:t>72</w:t>
      </w:r>
      <w:r w:rsidRPr="003C52E1">
        <w:rPr>
          <w:rFonts w:ascii="Arial" w:hAnsi="Arial" w:cs="Arial"/>
        </w:rPr>
        <w:t>/20</w:t>
      </w:r>
      <w:r w:rsidR="00B45EBB">
        <w:rPr>
          <w:rFonts w:ascii="Arial" w:hAnsi="Arial" w:cs="Arial"/>
        </w:rPr>
        <w:t>21</w:t>
      </w:r>
      <w:r w:rsidRPr="003C52E1">
        <w:rPr>
          <w:rFonts w:ascii="Arial" w:hAnsi="Arial" w:cs="Arial"/>
        </w:rPr>
        <w:t xml:space="preserve">/DGL Prezesa Narodowego Funduszu Zdrowia z dnia </w:t>
      </w:r>
      <w:r w:rsidR="00B45EBB">
        <w:rPr>
          <w:rFonts w:ascii="Arial" w:hAnsi="Arial" w:cs="Arial"/>
        </w:rPr>
        <w:t>2</w:t>
      </w:r>
      <w:r w:rsidRPr="003C52E1">
        <w:rPr>
          <w:rFonts w:ascii="Arial" w:hAnsi="Arial" w:cs="Arial"/>
        </w:rPr>
        <w:t xml:space="preserve">1 </w:t>
      </w:r>
      <w:r w:rsidR="00B45EBB">
        <w:rPr>
          <w:rFonts w:ascii="Arial" w:hAnsi="Arial" w:cs="Arial"/>
        </w:rPr>
        <w:t>kwietnia</w:t>
      </w:r>
      <w:r w:rsidRPr="003C52E1">
        <w:rPr>
          <w:rFonts w:ascii="Arial" w:hAnsi="Arial" w:cs="Arial"/>
        </w:rPr>
        <w:t xml:space="preserve"> 20</w:t>
      </w:r>
      <w:r w:rsidR="00B45EBB">
        <w:rPr>
          <w:rFonts w:ascii="Arial" w:hAnsi="Arial" w:cs="Arial"/>
        </w:rPr>
        <w:t>21</w:t>
      </w:r>
      <w:r w:rsidRPr="003C52E1">
        <w:rPr>
          <w:rFonts w:ascii="Arial" w:hAnsi="Arial" w:cs="Arial"/>
        </w:rPr>
        <w:t xml:space="preserve"> r. w sprawie określenia warunków zawierania i realizacji umów w rodzaju leczenie szpitalne w zakresie chemioterapia wynikają z konieczności dostosowania przepisów zarządzeni</w:t>
      </w:r>
      <w:r w:rsidRPr="00490694">
        <w:rPr>
          <w:rFonts w:ascii="Arial" w:hAnsi="Arial" w:cs="Arial"/>
        </w:rPr>
        <w:t xml:space="preserve">a do aktualnego stanu faktycznego w zakresie refundacji leków stosowanych w chemioterapii, tj. do obwieszczenia Ministra Zdrowia z dnia </w:t>
      </w:r>
      <w:r w:rsidR="00B45EBB" w:rsidRPr="00490694">
        <w:rPr>
          <w:rFonts w:ascii="Arial" w:hAnsi="Arial" w:cs="Arial"/>
        </w:rPr>
        <w:t>21</w:t>
      </w:r>
      <w:r w:rsidR="00C630CB" w:rsidRPr="00490694">
        <w:rPr>
          <w:rFonts w:ascii="Arial" w:hAnsi="Arial" w:cs="Arial"/>
        </w:rPr>
        <w:t> </w:t>
      </w:r>
      <w:r w:rsidR="00B45EBB" w:rsidRPr="00490694">
        <w:rPr>
          <w:rFonts w:ascii="Arial" w:hAnsi="Arial" w:cs="Arial"/>
        </w:rPr>
        <w:t>kwietnia</w:t>
      </w:r>
      <w:r w:rsidRPr="00490694">
        <w:rPr>
          <w:rFonts w:ascii="Arial" w:hAnsi="Arial" w:cs="Arial"/>
        </w:rPr>
        <w:t xml:space="preserve"> 2021 r. w sprawie wykazu refundowanych leków, środków spożywczych specjalnego przeznaczenia żywieniowego oraz wyrobów medycznych na dzień 1 ma</w:t>
      </w:r>
      <w:r w:rsidR="00B45EBB" w:rsidRPr="00490694">
        <w:rPr>
          <w:rFonts w:ascii="Arial" w:hAnsi="Arial" w:cs="Arial"/>
        </w:rPr>
        <w:t>ja</w:t>
      </w:r>
      <w:r w:rsidRPr="00490694">
        <w:rPr>
          <w:rFonts w:ascii="Arial" w:hAnsi="Arial" w:cs="Arial"/>
        </w:rPr>
        <w:t xml:space="preserve"> 2021 r. (Dz. Urz. Min. Zdr. poz.</w:t>
      </w:r>
      <w:r w:rsidR="00B45EBB" w:rsidRPr="00490694">
        <w:rPr>
          <w:rFonts w:ascii="Arial" w:hAnsi="Arial" w:cs="Arial"/>
        </w:rPr>
        <w:t>3</w:t>
      </w:r>
      <w:r w:rsidRPr="00490694">
        <w:rPr>
          <w:rFonts w:ascii="Arial" w:hAnsi="Arial" w:cs="Arial"/>
        </w:rPr>
        <w:t>2), wydanego na podstawie art. 37 ust. 1 ustawy z dnia 12 maja 2011 r. o refundacji leków, środków spożywczych specjalnego przeznaczenia żywieniowego oraz wyrobów medycznych (Dz. U. z 202</w:t>
      </w:r>
      <w:r w:rsidR="00B45EBB" w:rsidRPr="00490694">
        <w:rPr>
          <w:rFonts w:ascii="Arial" w:hAnsi="Arial" w:cs="Arial"/>
        </w:rPr>
        <w:t>1</w:t>
      </w:r>
      <w:r w:rsidRPr="00490694">
        <w:rPr>
          <w:rFonts w:ascii="Arial" w:hAnsi="Arial" w:cs="Arial"/>
        </w:rPr>
        <w:t xml:space="preserve"> r. poz. </w:t>
      </w:r>
      <w:r w:rsidR="00DB2372" w:rsidRPr="00490694">
        <w:rPr>
          <w:rFonts w:ascii="Arial" w:hAnsi="Arial" w:cs="Arial"/>
        </w:rPr>
        <w:t>523).</w:t>
      </w:r>
    </w:p>
    <w:p w14:paraId="6C225610" w14:textId="38AD64A8" w:rsidR="00490694" w:rsidRPr="00490694" w:rsidRDefault="00490694" w:rsidP="00490694">
      <w:pPr>
        <w:tabs>
          <w:tab w:val="left" w:pos="4536"/>
        </w:tabs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490694">
        <w:rPr>
          <w:rFonts w:ascii="Arial" w:hAnsi="Arial" w:cs="Arial"/>
        </w:rPr>
        <w:t>Ponadto</w:t>
      </w:r>
      <w:r w:rsidR="008F52AB">
        <w:rPr>
          <w:rFonts w:ascii="Arial" w:hAnsi="Arial" w:cs="Arial"/>
        </w:rPr>
        <w:t>,</w:t>
      </w:r>
      <w:r w:rsidRPr="00490694">
        <w:rPr>
          <w:rFonts w:ascii="Arial" w:hAnsi="Arial" w:cs="Arial"/>
        </w:rPr>
        <w:t xml:space="preserve"> zgodnie z pismem </w:t>
      </w:r>
      <w:r w:rsidR="008F52AB" w:rsidRPr="00490694">
        <w:rPr>
          <w:rFonts w:ascii="Arial" w:hAnsi="Arial" w:cs="Arial"/>
        </w:rPr>
        <w:t xml:space="preserve">Ministerstwa Zdrowia </w:t>
      </w:r>
      <w:r w:rsidRPr="00490694">
        <w:rPr>
          <w:rFonts w:ascii="Arial" w:hAnsi="Arial" w:cs="Arial"/>
        </w:rPr>
        <w:t xml:space="preserve">z dnia 6 maja 2021 r. </w:t>
      </w:r>
      <w:r w:rsidR="008F52AB">
        <w:rPr>
          <w:rFonts w:ascii="Arial" w:hAnsi="Arial" w:cs="Arial"/>
        </w:rPr>
        <w:t>(</w:t>
      </w:r>
      <w:r w:rsidRPr="00490694">
        <w:rPr>
          <w:rFonts w:ascii="Arial" w:hAnsi="Arial" w:cs="Arial"/>
        </w:rPr>
        <w:t>znak: DL.736.2.2021.DJK</w:t>
      </w:r>
      <w:r w:rsidR="008F52AB">
        <w:rPr>
          <w:rFonts w:ascii="Arial" w:hAnsi="Arial" w:cs="Arial"/>
        </w:rPr>
        <w:t>)</w:t>
      </w:r>
      <w:r w:rsidR="00834DD5">
        <w:rPr>
          <w:rFonts w:ascii="Arial" w:hAnsi="Arial" w:cs="Arial"/>
        </w:rPr>
        <w:t>,</w:t>
      </w:r>
      <w:r w:rsidRPr="00490694">
        <w:rPr>
          <w:rFonts w:ascii="Arial" w:hAnsi="Arial" w:cs="Arial"/>
        </w:rPr>
        <w:t xml:space="preserve"> </w:t>
      </w:r>
      <w:r w:rsidR="00834DD5">
        <w:rPr>
          <w:rFonts w:ascii="Arial" w:hAnsi="Arial" w:cs="Arial"/>
        </w:rPr>
        <w:t xml:space="preserve">do </w:t>
      </w:r>
      <w:r w:rsidRPr="00490694">
        <w:rPr>
          <w:rFonts w:ascii="Arial" w:hAnsi="Arial" w:cs="Arial"/>
        </w:rPr>
        <w:t xml:space="preserve">zarządzenia wprowadzono zmiany polegające na przywróceniu możliwości realizacji świadczeń na zasadach obowiązujących do dnia 31 marca 2021 r. Tym samym zaktualizowano treść zarządzenia oraz katalog świadczeń </w:t>
      </w:r>
      <w:r w:rsidR="00834DD5">
        <w:rPr>
          <w:rFonts w:ascii="Arial" w:hAnsi="Arial" w:cs="Arial"/>
        </w:rPr>
        <w:t>podstawowych</w:t>
      </w:r>
      <w:r w:rsidRPr="00490694">
        <w:rPr>
          <w:rFonts w:ascii="Arial" w:hAnsi="Arial" w:cs="Arial"/>
        </w:rPr>
        <w:t xml:space="preserve"> (</w:t>
      </w:r>
      <w:r w:rsidR="008F52AB">
        <w:rPr>
          <w:rFonts w:ascii="Arial" w:hAnsi="Arial" w:cs="Arial"/>
        </w:rPr>
        <w:t xml:space="preserve">załącznik nr </w:t>
      </w:r>
      <w:r w:rsidRPr="00490694">
        <w:rPr>
          <w:rFonts w:ascii="Arial" w:hAnsi="Arial" w:cs="Arial"/>
        </w:rPr>
        <w:t xml:space="preserve">1e). </w:t>
      </w:r>
      <w:r>
        <w:rPr>
          <w:rFonts w:ascii="Arial" w:hAnsi="Arial" w:cs="Arial"/>
        </w:rPr>
        <w:t>Ponadto</w:t>
      </w:r>
      <w:r w:rsidR="008F52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 </w:t>
      </w:r>
      <w:r w:rsidRPr="00490694">
        <w:rPr>
          <w:rFonts w:ascii="Arial" w:hAnsi="Arial" w:cs="Arial"/>
        </w:rPr>
        <w:t xml:space="preserve">treści </w:t>
      </w:r>
      <w:r w:rsidR="008F52AB">
        <w:rPr>
          <w:rFonts w:ascii="Arial" w:hAnsi="Arial" w:cs="Arial"/>
        </w:rPr>
        <w:t xml:space="preserve">normatywnej </w:t>
      </w:r>
      <w:r w:rsidRPr="00490694">
        <w:rPr>
          <w:rFonts w:ascii="Arial" w:hAnsi="Arial" w:cs="Arial"/>
        </w:rPr>
        <w:t>zarządzenia wprowadzono możliwość stosowania współczynnika korygującego 1,2 dla świadczeń z zakresu chemioterapii, w celu zachowania dotychczasowego poziomu ich finansowania oraz dostępności</w:t>
      </w:r>
      <w:r w:rsidR="008F52AB">
        <w:rPr>
          <w:rFonts w:ascii="Arial" w:hAnsi="Arial" w:cs="Arial"/>
        </w:rPr>
        <w:t xml:space="preserve"> do tych świadczeń</w:t>
      </w:r>
      <w:r w:rsidRPr="00490694">
        <w:rPr>
          <w:rFonts w:ascii="Arial" w:hAnsi="Arial" w:cs="Arial"/>
        </w:rPr>
        <w:t>. Przedmiotowe zmiany będą obowiązywały od dnia 1 kwietnia 2021 r.</w:t>
      </w:r>
    </w:p>
    <w:p w14:paraId="664D5E54" w14:textId="0DA033F0" w:rsidR="00490694" w:rsidRPr="001B24F4" w:rsidRDefault="007C16F9" w:rsidP="00490694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Projektowane zmiany wpisują się w kluczowe dla Narodowego Funduszu Zdrowia cele określone w Strategii na lata 2019-2023 jak: (cel 2) </w:t>
      </w:r>
      <w:r w:rsidRPr="008F52AB">
        <w:rPr>
          <w:rFonts w:ascii="Arial" w:hAnsi="Arial" w:cs="Arial"/>
          <w:i/>
        </w:rPr>
        <w:t xml:space="preserve">poprawa jakości </w:t>
      </w:r>
      <w:r w:rsidRPr="008F52AB">
        <w:rPr>
          <w:rFonts w:ascii="Arial" w:hAnsi="Arial" w:cs="Arial"/>
          <w:i/>
        </w:rPr>
        <w:br/>
        <w:t>i dostępności świadczeń opieki zdrowotnej oraz (cel 5) poprawa efektywności wydatkowania środków publicznych na świadczenia opieki zdrowotnej</w:t>
      </w:r>
      <w:r w:rsidRPr="001B24F4">
        <w:rPr>
          <w:rFonts w:ascii="Arial" w:hAnsi="Arial" w:cs="Arial"/>
        </w:rPr>
        <w:t xml:space="preserve">. </w:t>
      </w:r>
    </w:p>
    <w:p w14:paraId="28BC6D3F" w14:textId="1CDF1C09" w:rsidR="004238DC" w:rsidRPr="001B24F4" w:rsidRDefault="0030249C" w:rsidP="00661C06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Zmiany wprowadzone niniejszym zarządzeniem dotyczą</w:t>
      </w:r>
      <w:r w:rsidR="00852F8C" w:rsidRPr="001B24F4">
        <w:rPr>
          <w:rFonts w:ascii="Arial" w:hAnsi="Arial" w:cs="Arial"/>
        </w:rPr>
        <w:t>:</w:t>
      </w:r>
    </w:p>
    <w:p w14:paraId="54148157" w14:textId="56469295" w:rsidR="00873862" w:rsidRDefault="00873862" w:rsidP="00490694">
      <w:pPr>
        <w:pStyle w:val="Akapitzlist"/>
        <w:numPr>
          <w:ilvl w:val="0"/>
          <w:numId w:val="4"/>
        </w:numPr>
        <w:tabs>
          <w:tab w:val="left" w:pos="4536"/>
        </w:tabs>
        <w:spacing w:before="12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załącznika nr 1</w:t>
      </w:r>
      <w:r>
        <w:rPr>
          <w:rFonts w:ascii="Arial" w:hAnsi="Arial" w:cs="Arial"/>
        </w:rPr>
        <w:t>e</w:t>
      </w:r>
      <w:r w:rsidRPr="001B24F4">
        <w:rPr>
          <w:rFonts w:ascii="Arial" w:hAnsi="Arial" w:cs="Arial"/>
        </w:rPr>
        <w:t xml:space="preserve"> do zarządzenia, określającego katalog</w:t>
      </w:r>
      <w:r>
        <w:rPr>
          <w:rFonts w:ascii="Arial" w:hAnsi="Arial" w:cs="Arial"/>
        </w:rPr>
        <w:t xml:space="preserve"> świadczeń podstawowych, wycofujące zmiany wprowadzone po </w:t>
      </w:r>
      <w:r w:rsidR="008F52AB">
        <w:rPr>
          <w:rFonts w:ascii="Arial" w:hAnsi="Arial" w:cs="Arial"/>
        </w:rPr>
        <w:t xml:space="preserve">dniu </w:t>
      </w:r>
      <w:r>
        <w:rPr>
          <w:rFonts w:ascii="Arial" w:hAnsi="Arial" w:cs="Arial"/>
        </w:rPr>
        <w:t>1 kwietn</w:t>
      </w:r>
      <w:r w:rsidR="008F52AB">
        <w:rPr>
          <w:rFonts w:ascii="Arial" w:hAnsi="Arial" w:cs="Arial"/>
        </w:rPr>
        <w:t>i</w:t>
      </w:r>
      <w:r>
        <w:rPr>
          <w:rFonts w:ascii="Arial" w:hAnsi="Arial" w:cs="Arial"/>
        </w:rPr>
        <w:t>a 2021 r. i prz</w:t>
      </w:r>
      <w:r w:rsidR="008F52AB">
        <w:rPr>
          <w:rFonts w:ascii="Arial" w:hAnsi="Arial" w:cs="Arial"/>
        </w:rPr>
        <w:t>y</w:t>
      </w:r>
      <w:r>
        <w:rPr>
          <w:rFonts w:ascii="Arial" w:hAnsi="Arial" w:cs="Arial"/>
        </w:rPr>
        <w:t>wracające stan wcześniejszy;</w:t>
      </w:r>
    </w:p>
    <w:p w14:paraId="1FB5C9BE" w14:textId="2AD59855" w:rsidR="00C93C36" w:rsidRPr="001B24F4" w:rsidRDefault="00C93C36" w:rsidP="000E5F35">
      <w:pPr>
        <w:pStyle w:val="Akapitzlist"/>
        <w:numPr>
          <w:ilvl w:val="0"/>
          <w:numId w:val="4"/>
        </w:numPr>
        <w:tabs>
          <w:tab w:val="left" w:pos="4536"/>
        </w:tabs>
        <w:spacing w:before="24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lastRenderedPageBreak/>
        <w:t xml:space="preserve">załącznika nr 1n do zarządzenia, określającego </w:t>
      </w:r>
      <w:r w:rsidR="00C74F2F" w:rsidRPr="001B24F4">
        <w:rPr>
          <w:rFonts w:ascii="Arial" w:hAnsi="Arial" w:cs="Arial"/>
        </w:rPr>
        <w:t>k</w:t>
      </w:r>
      <w:r w:rsidRPr="001B24F4">
        <w:rPr>
          <w:rFonts w:ascii="Arial" w:hAnsi="Arial" w:cs="Arial"/>
        </w:rPr>
        <w:t>atalog leków refundowanych stosowanych w chemioterapii i polegają na:</w:t>
      </w:r>
    </w:p>
    <w:p w14:paraId="6CBA4239" w14:textId="742513CB" w:rsidR="00C93C36" w:rsidRPr="001B24F4" w:rsidRDefault="00766116" w:rsidP="000E5F35">
      <w:pPr>
        <w:pStyle w:val="Akapitzlist"/>
        <w:numPr>
          <w:ilvl w:val="0"/>
          <w:numId w:val="3"/>
        </w:numPr>
        <w:tabs>
          <w:tab w:val="left" w:pos="4536"/>
        </w:tabs>
        <w:spacing w:line="360" w:lineRule="auto"/>
        <w:ind w:left="1418" w:hanging="709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dodaniu kodu GTIN dla substancji czynnej</w:t>
      </w:r>
      <w:r w:rsidR="00C93C36" w:rsidRPr="001B24F4">
        <w:rPr>
          <w:rFonts w:ascii="Arial" w:hAnsi="Arial" w:cs="Arial"/>
        </w:rPr>
        <w:t>:</w:t>
      </w:r>
    </w:p>
    <w:p w14:paraId="408B789F" w14:textId="6EFB4942" w:rsidR="00C93C36" w:rsidRPr="001B24F4" w:rsidRDefault="00411665" w:rsidP="000E5F35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1701" w:hanging="283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5.08.10.00000</w:t>
      </w:r>
      <w:r w:rsidR="00766116" w:rsidRPr="001B24F4">
        <w:rPr>
          <w:rFonts w:ascii="Arial" w:hAnsi="Arial" w:cs="Arial"/>
        </w:rPr>
        <w:t>2</w:t>
      </w:r>
      <w:r w:rsidRPr="001B24F4">
        <w:rPr>
          <w:rFonts w:ascii="Arial" w:hAnsi="Arial" w:cs="Arial"/>
        </w:rPr>
        <w:t xml:space="preserve">9 </w:t>
      </w:r>
      <w:r w:rsidR="00C93C36" w:rsidRPr="001B24F4">
        <w:rPr>
          <w:rFonts w:ascii="Arial" w:hAnsi="Arial" w:cs="Arial"/>
        </w:rPr>
        <w:t xml:space="preserve">- </w:t>
      </w:r>
      <w:r w:rsidR="00766116" w:rsidRPr="001B24F4">
        <w:rPr>
          <w:rFonts w:ascii="Arial" w:hAnsi="Arial" w:cs="Arial"/>
        </w:rPr>
        <w:t>Fulvestrantum</w:t>
      </w:r>
      <w:r w:rsidR="00C93C36" w:rsidRPr="001B24F4">
        <w:rPr>
          <w:rFonts w:ascii="Arial" w:hAnsi="Arial" w:cs="Arial"/>
        </w:rPr>
        <w:t xml:space="preserve"> - GTIN: </w:t>
      </w:r>
      <w:r w:rsidR="00766116" w:rsidRPr="001B24F4">
        <w:rPr>
          <w:rFonts w:ascii="Arial" w:hAnsi="Arial" w:cs="Arial"/>
        </w:rPr>
        <w:t>05909991441630, 05909991250683,</w:t>
      </w:r>
    </w:p>
    <w:p w14:paraId="29863191" w14:textId="37ED5E25" w:rsidR="00766116" w:rsidRPr="001B24F4" w:rsidRDefault="00766116" w:rsidP="00766116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1701" w:hanging="283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5.08.10.0000041 - Mesnum  - GTIN: 05909991438647,</w:t>
      </w:r>
    </w:p>
    <w:p w14:paraId="1C2847AB" w14:textId="0E824DBF" w:rsidR="00766116" w:rsidRPr="001B24F4" w:rsidRDefault="00766116" w:rsidP="00766116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1701" w:hanging="283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5.08.10.0000074 - Aprepitantum  - GTIN: 05909991412715,</w:t>
      </w:r>
    </w:p>
    <w:p w14:paraId="4ABCB0DF" w14:textId="6F2304FA" w:rsidR="00411665" w:rsidRPr="001B24F4" w:rsidRDefault="00766116" w:rsidP="00411665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1701" w:hanging="283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5.08.10.0000077 - Azacitidinum  - GTIN: 05901797710859,</w:t>
      </w:r>
    </w:p>
    <w:p w14:paraId="4CAB9C33" w14:textId="77777777" w:rsidR="00766116" w:rsidRPr="001B24F4" w:rsidRDefault="00766116" w:rsidP="00766116">
      <w:pPr>
        <w:pStyle w:val="Akapitzlist"/>
        <w:tabs>
          <w:tab w:val="left" w:pos="4536"/>
        </w:tabs>
        <w:spacing w:after="200" w:line="360" w:lineRule="auto"/>
        <w:ind w:left="1701"/>
        <w:jc w:val="both"/>
        <w:rPr>
          <w:rFonts w:ascii="Arial" w:hAnsi="Arial" w:cs="Arial"/>
        </w:rPr>
      </w:pPr>
    </w:p>
    <w:p w14:paraId="419F459A" w14:textId="77777777" w:rsidR="00C93C36" w:rsidRPr="001B24F4" w:rsidRDefault="00C93C36" w:rsidP="000E5F35">
      <w:pPr>
        <w:pStyle w:val="Akapitzlist"/>
        <w:numPr>
          <w:ilvl w:val="0"/>
          <w:numId w:val="3"/>
        </w:numPr>
        <w:tabs>
          <w:tab w:val="left" w:pos="1418"/>
        </w:tabs>
        <w:spacing w:line="360" w:lineRule="auto"/>
        <w:ind w:firstLine="131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usunięciu kodu GTIN dla substancji czynnej:</w:t>
      </w:r>
    </w:p>
    <w:p w14:paraId="163DF69F" w14:textId="39366D13" w:rsidR="00C93C36" w:rsidRPr="001B24F4" w:rsidRDefault="00766116" w:rsidP="000E5F35">
      <w:pPr>
        <w:pStyle w:val="Akapitzlist"/>
        <w:numPr>
          <w:ilvl w:val="0"/>
          <w:numId w:val="1"/>
        </w:numPr>
        <w:tabs>
          <w:tab w:val="left" w:pos="1134"/>
          <w:tab w:val="left" w:pos="1701"/>
          <w:tab w:val="left" w:pos="4536"/>
        </w:tabs>
        <w:spacing w:after="200" w:line="360" w:lineRule="auto"/>
        <w:ind w:left="1276" w:firstLine="131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5.08.10.0000082 </w:t>
      </w:r>
      <w:r w:rsidR="00C93C36" w:rsidRPr="001B24F4">
        <w:rPr>
          <w:rFonts w:ascii="Arial" w:hAnsi="Arial" w:cs="Arial"/>
        </w:rPr>
        <w:t xml:space="preserve">- </w:t>
      </w:r>
      <w:r w:rsidRPr="001B24F4">
        <w:rPr>
          <w:rFonts w:ascii="Arial" w:hAnsi="Arial" w:cs="Arial"/>
        </w:rPr>
        <w:t>Anagrelidum</w:t>
      </w:r>
      <w:r w:rsidR="00C93C36" w:rsidRPr="001B24F4">
        <w:rPr>
          <w:rFonts w:ascii="Arial" w:hAnsi="Arial" w:cs="Arial"/>
        </w:rPr>
        <w:t xml:space="preserve"> - GTIN: </w:t>
      </w:r>
      <w:r w:rsidRPr="001B24F4">
        <w:rPr>
          <w:rFonts w:ascii="Arial" w:hAnsi="Arial" w:cs="Arial"/>
        </w:rPr>
        <w:t>05909991354053, 05909991354077,</w:t>
      </w:r>
    </w:p>
    <w:p w14:paraId="7300065A" w14:textId="09A05ABA" w:rsidR="000E5F35" w:rsidRDefault="00C93C36" w:rsidP="00E25E49">
      <w:pPr>
        <w:tabs>
          <w:tab w:val="left" w:pos="4536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>- zgodnie ze zmianami wprowadzonymi w obwieszczeniu refundacyjnym</w:t>
      </w:r>
      <w:r w:rsidR="00411665" w:rsidRPr="001B24F4">
        <w:rPr>
          <w:rFonts w:ascii="Arial" w:hAnsi="Arial" w:cs="Arial"/>
        </w:rPr>
        <w:t>;</w:t>
      </w:r>
    </w:p>
    <w:p w14:paraId="67C53875" w14:textId="77777777" w:rsidR="00E25E49" w:rsidRPr="00E25E49" w:rsidRDefault="00E25E49" w:rsidP="00E25E49">
      <w:pPr>
        <w:tabs>
          <w:tab w:val="left" w:pos="4536"/>
        </w:tabs>
        <w:spacing w:before="120" w:line="360" w:lineRule="auto"/>
        <w:ind w:left="426"/>
        <w:jc w:val="both"/>
        <w:rPr>
          <w:rFonts w:ascii="Arial" w:hAnsi="Arial" w:cs="Arial"/>
        </w:rPr>
      </w:pPr>
    </w:p>
    <w:p w14:paraId="70336A8F" w14:textId="32240E4E" w:rsidR="00B675A3" w:rsidRPr="001B24F4" w:rsidRDefault="00B675A3" w:rsidP="000E5F35">
      <w:pPr>
        <w:pStyle w:val="Akapitzlist"/>
        <w:numPr>
          <w:ilvl w:val="0"/>
          <w:numId w:val="4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załącznika </w:t>
      </w:r>
      <w:r w:rsidR="0051788F" w:rsidRPr="001B24F4">
        <w:rPr>
          <w:rFonts w:ascii="Arial" w:hAnsi="Arial" w:cs="Arial"/>
        </w:rPr>
        <w:t>nr 7 do zarządzenia, określającego katalog współczynników korygując</w:t>
      </w:r>
      <w:r w:rsidR="00FF5271" w:rsidRPr="001B24F4">
        <w:rPr>
          <w:rFonts w:ascii="Arial" w:hAnsi="Arial" w:cs="Arial"/>
        </w:rPr>
        <w:t>ych stosowanych w chemioterapii</w:t>
      </w:r>
      <w:r w:rsidR="001B24F4" w:rsidRPr="001B24F4">
        <w:rPr>
          <w:rFonts w:ascii="Arial" w:hAnsi="Arial" w:cs="Arial"/>
        </w:rPr>
        <w:t xml:space="preserve"> i polegają na:</w:t>
      </w:r>
    </w:p>
    <w:p w14:paraId="1F0CB2EB" w14:textId="2C4596F6" w:rsidR="0002441D" w:rsidRPr="001B24F4" w:rsidRDefault="00B728B2" w:rsidP="00B728B2">
      <w:pPr>
        <w:pStyle w:val="Akapitzlist"/>
        <w:numPr>
          <w:ilvl w:val="0"/>
          <w:numId w:val="5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wykreśleniu współczynnika korygującego 1,1, dla świadczeń przy zastosowaniu substancji czynnej </w:t>
      </w:r>
      <w:r w:rsidRPr="00B728B2">
        <w:rPr>
          <w:rFonts w:ascii="Arial" w:hAnsi="Arial" w:cs="Arial"/>
        </w:rPr>
        <w:t>bicalutamidum</w:t>
      </w:r>
      <w:r w:rsidRPr="001B24F4">
        <w:rPr>
          <w:rFonts w:ascii="Arial" w:hAnsi="Arial" w:cs="Arial"/>
        </w:rPr>
        <w:t xml:space="preserve"> (kod </w:t>
      </w:r>
      <w:r w:rsidRPr="00B728B2">
        <w:rPr>
          <w:rFonts w:ascii="Arial" w:hAnsi="Arial" w:cs="Arial"/>
        </w:rPr>
        <w:t>5.08.10.0000003</w:t>
      </w:r>
      <w:r w:rsidRPr="001B24F4">
        <w:rPr>
          <w:rFonts w:ascii="Arial" w:hAnsi="Arial" w:cs="Arial"/>
        </w:rPr>
        <w:t>),</w:t>
      </w:r>
    </w:p>
    <w:p w14:paraId="509550B8" w14:textId="780354BB" w:rsidR="00CC6F5C" w:rsidRDefault="00B728B2" w:rsidP="00691555">
      <w:pPr>
        <w:pStyle w:val="Akapitzlist"/>
        <w:numPr>
          <w:ilvl w:val="0"/>
          <w:numId w:val="5"/>
        </w:num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dodaniu współczynnika korygującego 1,1, dla świadczeń przy zastosowaniu substancji czynnej fulvestrantum (kod 5.08.10.0000029) oraz </w:t>
      </w:r>
      <w:r w:rsidRPr="00B728B2">
        <w:rPr>
          <w:rFonts w:ascii="Arial" w:hAnsi="Arial" w:cs="Arial"/>
        </w:rPr>
        <w:t>azacitidinum</w:t>
      </w:r>
      <w:r w:rsidRPr="001B24F4">
        <w:rPr>
          <w:rFonts w:ascii="Arial" w:hAnsi="Arial" w:cs="Arial"/>
        </w:rPr>
        <w:t xml:space="preserve"> (kod </w:t>
      </w:r>
      <w:r w:rsidRPr="00B728B2">
        <w:rPr>
          <w:rFonts w:ascii="Arial" w:hAnsi="Arial" w:cs="Arial"/>
        </w:rPr>
        <w:t>5.08.10.0000077</w:t>
      </w:r>
      <w:r w:rsidRPr="001B24F4">
        <w:rPr>
          <w:rFonts w:ascii="Arial" w:hAnsi="Arial" w:cs="Arial"/>
        </w:rPr>
        <w:t xml:space="preserve">), z ustaleniem progu kosztowego dla fulvestrantum na poziomie </w:t>
      </w:r>
      <w:r w:rsidRPr="00B728B2">
        <w:rPr>
          <w:rFonts w:ascii="Arial" w:hAnsi="Arial" w:cs="Arial"/>
        </w:rPr>
        <w:t>1,2260</w:t>
      </w:r>
      <w:r w:rsidRPr="001B24F4">
        <w:rPr>
          <w:rFonts w:ascii="Arial" w:hAnsi="Arial" w:cs="Arial"/>
        </w:rPr>
        <w:t xml:space="preserve"> zł/mg oraz dla </w:t>
      </w:r>
      <w:r w:rsidRPr="00B728B2">
        <w:rPr>
          <w:rFonts w:ascii="Arial" w:hAnsi="Arial" w:cs="Arial"/>
        </w:rPr>
        <w:t>azacitidinum</w:t>
      </w:r>
      <w:r w:rsidRPr="001B24F4">
        <w:rPr>
          <w:rFonts w:ascii="Arial" w:hAnsi="Arial" w:cs="Arial"/>
        </w:rPr>
        <w:t xml:space="preserve"> na poziomie </w:t>
      </w:r>
      <w:r w:rsidRPr="00B728B2">
        <w:rPr>
          <w:rFonts w:ascii="Arial" w:hAnsi="Arial" w:cs="Arial"/>
        </w:rPr>
        <w:t>5,3649</w:t>
      </w:r>
      <w:r w:rsidRPr="001B24F4">
        <w:rPr>
          <w:rFonts w:ascii="Arial" w:hAnsi="Arial" w:cs="Arial"/>
        </w:rPr>
        <w:t xml:space="preserve"> zł/mg, biorąc pod uwagę analizę limit</w:t>
      </w:r>
      <w:r w:rsidR="001B24F4" w:rsidRPr="001B24F4">
        <w:rPr>
          <w:rFonts w:ascii="Arial" w:hAnsi="Arial" w:cs="Arial"/>
        </w:rPr>
        <w:t>ów</w:t>
      </w:r>
      <w:r w:rsidRPr="001B24F4">
        <w:rPr>
          <w:rFonts w:ascii="Arial" w:hAnsi="Arial" w:cs="Arial"/>
        </w:rPr>
        <w:t xml:space="preserve"> fina</w:t>
      </w:r>
      <w:r w:rsidR="001B24F4" w:rsidRPr="001B24F4">
        <w:rPr>
          <w:rFonts w:ascii="Arial" w:hAnsi="Arial" w:cs="Arial"/>
        </w:rPr>
        <w:t>nsowania dla poszcze</w:t>
      </w:r>
      <w:r w:rsidR="00691555">
        <w:rPr>
          <w:rFonts w:ascii="Arial" w:hAnsi="Arial" w:cs="Arial"/>
        </w:rPr>
        <w:t>gólnych EAN.</w:t>
      </w:r>
    </w:p>
    <w:p w14:paraId="205C1754" w14:textId="77777777" w:rsidR="00691555" w:rsidRPr="00691555" w:rsidRDefault="00691555" w:rsidP="00691555">
      <w:pPr>
        <w:pStyle w:val="Akapitzlist"/>
        <w:tabs>
          <w:tab w:val="left" w:pos="4536"/>
        </w:tabs>
        <w:spacing w:line="360" w:lineRule="auto"/>
        <w:ind w:left="1080"/>
        <w:jc w:val="both"/>
        <w:rPr>
          <w:rFonts w:ascii="Arial" w:hAnsi="Arial" w:cs="Arial"/>
        </w:rPr>
      </w:pPr>
    </w:p>
    <w:p w14:paraId="6436E71F" w14:textId="6C7245C1" w:rsidR="004F3A83" w:rsidRPr="001B24F4" w:rsidRDefault="00FF3222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1B24F4">
        <w:rPr>
          <w:rFonts w:ascii="Arial" w:hAnsi="Arial" w:cs="Arial"/>
        </w:rPr>
        <w:t xml:space="preserve">Oznaczenie </w:t>
      </w:r>
      <w:r w:rsidR="00C533AD">
        <w:rPr>
          <w:rFonts w:ascii="Arial" w:hAnsi="Arial" w:cs="Arial"/>
        </w:rPr>
        <w:t xml:space="preserve">stosowania przepisów do rozliczania świadczeń </w:t>
      </w:r>
      <w:r w:rsidRPr="001B24F4">
        <w:rPr>
          <w:rFonts w:ascii="Arial" w:hAnsi="Arial" w:cs="Arial"/>
        </w:rPr>
        <w:t xml:space="preserve">w sposób wskazany w </w:t>
      </w:r>
      <w:r w:rsidRPr="001B24F4">
        <w:rPr>
          <w:rFonts w:ascii="Arial" w:hAnsi="Arial" w:cs="Arial"/>
          <w:bCs/>
        </w:rPr>
        <w:t xml:space="preserve">§ </w:t>
      </w:r>
      <w:r w:rsidR="00CC6F5C">
        <w:rPr>
          <w:rFonts w:ascii="Arial" w:hAnsi="Arial" w:cs="Arial"/>
          <w:bCs/>
        </w:rPr>
        <w:t>4</w:t>
      </w:r>
      <w:r w:rsidRPr="001B24F4">
        <w:rPr>
          <w:rFonts w:ascii="Arial" w:hAnsi="Arial" w:cs="Arial"/>
        </w:rPr>
        <w:t xml:space="preserve"> zarządzenia</w:t>
      </w:r>
      <w:r w:rsidR="00105F6B" w:rsidRPr="001B24F4">
        <w:rPr>
          <w:rFonts w:ascii="Arial" w:hAnsi="Arial" w:cs="Arial"/>
        </w:rPr>
        <w:t>,</w:t>
      </w:r>
      <w:r w:rsidRPr="001B24F4">
        <w:rPr>
          <w:rFonts w:ascii="Arial" w:hAnsi="Arial" w:cs="Arial"/>
          <w:b/>
          <w:bCs/>
        </w:rPr>
        <w:t xml:space="preserve"> </w:t>
      </w:r>
      <w:r w:rsidR="004F3A83" w:rsidRPr="001B24F4">
        <w:rPr>
          <w:rFonts w:ascii="Arial" w:hAnsi="Arial" w:cs="Arial"/>
        </w:rPr>
        <w:t>wynika z konieczności zapewnienia ciągłości stosowania przepisów w przedmiotowym zakresie, zgodnie z ww. obwieszczeniem Ministra Zdrowia oraz z terminów obowiązywania decyzji administracyjnych Ministra Zdrowia w sprawie objęcie refundacją i określenia ceny urzędowej leków zawartych w niniejszym zarządzeniu.</w:t>
      </w:r>
    </w:p>
    <w:p w14:paraId="7C5FBF7A" w14:textId="77777777" w:rsidR="00F1430C" w:rsidRPr="003720C4" w:rsidRDefault="00F1430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47743DC" w14:textId="2549D052" w:rsidR="00241C1B" w:rsidRPr="00C93766" w:rsidRDefault="00EB04C3" w:rsidP="00241C1B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 w:rsidRPr="00522FDD">
        <w:rPr>
          <w:rFonts w:ascii="Arial" w:hAnsi="Arial" w:cs="Arial"/>
          <w:bCs/>
        </w:rPr>
        <w:t xml:space="preserve">Zarządzenie </w:t>
      </w:r>
      <w:r w:rsidR="00162617" w:rsidRPr="00162617">
        <w:rPr>
          <w:rFonts w:ascii="Arial" w:hAnsi="Arial" w:cs="Arial"/>
          <w:bCs/>
        </w:rPr>
        <w:t xml:space="preserve">stosuje się do </w:t>
      </w:r>
      <w:r w:rsidR="001150C3">
        <w:rPr>
          <w:rFonts w:ascii="Arial" w:hAnsi="Arial" w:cs="Arial"/>
          <w:bCs/>
        </w:rPr>
        <w:t xml:space="preserve">rozliczania </w:t>
      </w:r>
      <w:r w:rsidR="00F577B1">
        <w:rPr>
          <w:rFonts w:ascii="Arial" w:hAnsi="Arial" w:cs="Arial"/>
          <w:bCs/>
        </w:rPr>
        <w:t>świadczeń udzielanych od dnia 1 </w:t>
      </w:r>
      <w:r w:rsidR="00162617" w:rsidRPr="00162617">
        <w:rPr>
          <w:rFonts w:ascii="Arial" w:hAnsi="Arial" w:cs="Arial"/>
          <w:bCs/>
        </w:rPr>
        <w:t xml:space="preserve">kwietnia z wyjątkiem § 1 pkt </w:t>
      </w:r>
      <w:r w:rsidR="00834DD5">
        <w:rPr>
          <w:rFonts w:ascii="Arial" w:hAnsi="Arial" w:cs="Arial"/>
          <w:bCs/>
        </w:rPr>
        <w:t>6</w:t>
      </w:r>
      <w:r w:rsidR="00162617" w:rsidRPr="00162617">
        <w:rPr>
          <w:rFonts w:ascii="Arial" w:hAnsi="Arial" w:cs="Arial"/>
          <w:bCs/>
        </w:rPr>
        <w:t xml:space="preserve">, </w:t>
      </w:r>
      <w:r w:rsidR="00834DD5">
        <w:rPr>
          <w:rFonts w:ascii="Arial" w:hAnsi="Arial" w:cs="Arial"/>
          <w:bCs/>
        </w:rPr>
        <w:t>8</w:t>
      </w:r>
      <w:r w:rsidR="00834DD5" w:rsidRPr="00162617">
        <w:rPr>
          <w:rFonts w:ascii="Arial" w:hAnsi="Arial" w:cs="Arial"/>
          <w:bCs/>
        </w:rPr>
        <w:t xml:space="preserve"> </w:t>
      </w:r>
      <w:r w:rsidR="00162617" w:rsidRPr="00162617">
        <w:rPr>
          <w:rFonts w:ascii="Arial" w:hAnsi="Arial" w:cs="Arial"/>
          <w:bCs/>
        </w:rPr>
        <w:t xml:space="preserve">i </w:t>
      </w:r>
      <w:r w:rsidR="00834DD5">
        <w:rPr>
          <w:rFonts w:ascii="Arial" w:hAnsi="Arial" w:cs="Arial"/>
          <w:bCs/>
        </w:rPr>
        <w:t>9</w:t>
      </w:r>
      <w:r w:rsidR="00162617" w:rsidRPr="00162617">
        <w:rPr>
          <w:rFonts w:ascii="Arial" w:hAnsi="Arial" w:cs="Arial"/>
          <w:bCs/>
        </w:rPr>
        <w:t>, któr</w:t>
      </w:r>
      <w:r w:rsidR="001150C3">
        <w:rPr>
          <w:rFonts w:ascii="Arial" w:hAnsi="Arial" w:cs="Arial"/>
          <w:bCs/>
        </w:rPr>
        <w:t>y</w:t>
      </w:r>
      <w:r w:rsidR="00162617" w:rsidRPr="00162617">
        <w:rPr>
          <w:rFonts w:ascii="Arial" w:hAnsi="Arial" w:cs="Arial"/>
          <w:bCs/>
        </w:rPr>
        <w:t xml:space="preserve"> stosuje się do świadczeń udzielanych od dnia 1 maja 2021</w:t>
      </w:r>
      <w:r w:rsidR="00BA1872">
        <w:rPr>
          <w:rFonts w:ascii="Arial" w:hAnsi="Arial" w:cs="Arial"/>
          <w:bCs/>
        </w:rPr>
        <w:t xml:space="preserve"> </w:t>
      </w:r>
      <w:r w:rsidR="00162617" w:rsidRPr="00162617">
        <w:rPr>
          <w:rFonts w:ascii="Arial" w:hAnsi="Arial" w:cs="Arial"/>
          <w:bCs/>
        </w:rPr>
        <w:t>r.</w:t>
      </w:r>
      <w:r w:rsidR="00162617">
        <w:rPr>
          <w:rFonts w:ascii="Arial" w:hAnsi="Arial" w:cs="Arial"/>
          <w:bCs/>
        </w:rPr>
        <w:t xml:space="preserve"> </w:t>
      </w:r>
      <w:r w:rsidR="00241C1B" w:rsidRPr="00DA799C">
        <w:rPr>
          <w:rFonts w:ascii="Arial" w:hAnsi="Arial" w:cs="Arial"/>
        </w:rPr>
        <w:t xml:space="preserve">Do </w:t>
      </w:r>
      <w:r w:rsidR="001150C3">
        <w:rPr>
          <w:rFonts w:ascii="Arial" w:hAnsi="Arial" w:cs="Arial"/>
        </w:rPr>
        <w:t xml:space="preserve">rozliczania </w:t>
      </w:r>
      <w:r w:rsidR="00241C1B" w:rsidRPr="00DA799C">
        <w:rPr>
          <w:rFonts w:ascii="Arial" w:hAnsi="Arial" w:cs="Arial"/>
        </w:rPr>
        <w:t>świadczeń udzielonych między 1 kwietnia 2021 r. a 30 kwietnia 2021 r. st</w:t>
      </w:r>
      <w:r w:rsidR="00241C1B">
        <w:rPr>
          <w:rFonts w:ascii="Arial" w:hAnsi="Arial" w:cs="Arial"/>
        </w:rPr>
        <w:t>o</w:t>
      </w:r>
      <w:r w:rsidR="00241C1B" w:rsidRPr="00DA799C">
        <w:rPr>
          <w:rFonts w:ascii="Arial" w:hAnsi="Arial" w:cs="Arial"/>
        </w:rPr>
        <w:t>suje się przepisy z</w:t>
      </w:r>
      <w:r w:rsidR="00F577B1">
        <w:rPr>
          <w:rFonts w:ascii="Arial" w:hAnsi="Arial" w:cs="Arial"/>
        </w:rPr>
        <w:t>ałącznika nr 7 do zarządzenia w </w:t>
      </w:r>
      <w:r w:rsidR="00241C1B" w:rsidRPr="00DA799C">
        <w:rPr>
          <w:rFonts w:ascii="Arial" w:hAnsi="Arial" w:cs="Arial"/>
        </w:rPr>
        <w:t>brzmieniu określonym</w:t>
      </w:r>
      <w:r w:rsidR="00B77293">
        <w:rPr>
          <w:rFonts w:ascii="Arial" w:hAnsi="Arial" w:cs="Arial"/>
        </w:rPr>
        <w:t xml:space="preserve"> w </w:t>
      </w:r>
      <w:r w:rsidR="00241C1B" w:rsidRPr="00635B9F">
        <w:rPr>
          <w:rFonts w:ascii="Arial" w:hAnsi="Arial" w:cs="Arial"/>
        </w:rPr>
        <w:t xml:space="preserve">załączniku nr </w:t>
      </w:r>
      <w:r w:rsidR="00545126">
        <w:rPr>
          <w:rFonts w:ascii="Arial" w:hAnsi="Arial" w:cs="Arial"/>
        </w:rPr>
        <w:t>4</w:t>
      </w:r>
      <w:r w:rsidR="00545126" w:rsidRPr="00DA799C">
        <w:rPr>
          <w:rFonts w:ascii="Arial" w:hAnsi="Arial" w:cs="Arial"/>
        </w:rPr>
        <w:t xml:space="preserve"> </w:t>
      </w:r>
      <w:r w:rsidR="00241C1B" w:rsidRPr="00DA799C">
        <w:rPr>
          <w:rFonts w:ascii="Arial" w:hAnsi="Arial" w:cs="Arial"/>
        </w:rPr>
        <w:t>do niniejszego zarządzenia</w:t>
      </w:r>
      <w:r w:rsidR="00241C1B">
        <w:rPr>
          <w:rFonts w:ascii="Arial" w:hAnsi="Arial" w:cs="Arial"/>
        </w:rPr>
        <w:t>.</w:t>
      </w:r>
    </w:p>
    <w:p w14:paraId="3D741E1D" w14:textId="77777777" w:rsidR="00F1430C" w:rsidRDefault="00F1430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06A889D" w14:textId="1694A909" w:rsidR="00B675A3" w:rsidRDefault="00AD325C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3720C4">
        <w:rPr>
          <w:rFonts w:ascii="Arial" w:hAnsi="Arial" w:cs="Arial"/>
        </w:rPr>
        <w:t>Zgodnie z art. 146 ust. 4 ustawy o świadczeniach, Prezes Narodowego Funduszu Zdrowia przed określeniem przedmiotu postępowania w sprawie zawarcia umowy o</w:t>
      </w:r>
      <w:r w:rsidR="00FF5271">
        <w:rPr>
          <w:rFonts w:ascii="Arial" w:hAnsi="Arial" w:cs="Arial"/>
        </w:rPr>
        <w:t xml:space="preserve"> </w:t>
      </w:r>
      <w:r w:rsidRPr="003720C4">
        <w:rPr>
          <w:rFonts w:ascii="Arial" w:hAnsi="Arial" w:cs="Arial"/>
        </w:rPr>
        <w:t xml:space="preserve">udzielanie świadczeń opieki zdrowotnej </w:t>
      </w:r>
      <w:r w:rsidR="00B675A3" w:rsidRPr="003720C4">
        <w:rPr>
          <w:rFonts w:ascii="Arial" w:hAnsi="Arial" w:cs="Arial"/>
        </w:rPr>
        <w:t>zasięgn</w:t>
      </w:r>
      <w:r w:rsidR="00746C91">
        <w:rPr>
          <w:rFonts w:ascii="Arial" w:hAnsi="Arial" w:cs="Arial"/>
        </w:rPr>
        <w:t xml:space="preserve">ął </w:t>
      </w:r>
      <w:r w:rsidRPr="003720C4">
        <w:rPr>
          <w:rFonts w:ascii="Arial" w:hAnsi="Arial" w:cs="Arial"/>
        </w:rPr>
        <w:t>opinii właściwych konsultantów krajowych, a także, zgodnie z przepisami wydanymi na podstawie art. 137 ustawy o</w:t>
      </w:r>
      <w:r w:rsidR="00FF5271">
        <w:rPr>
          <w:rFonts w:ascii="Arial" w:hAnsi="Arial" w:cs="Arial"/>
        </w:rPr>
        <w:t xml:space="preserve"> </w:t>
      </w:r>
      <w:r w:rsidRPr="003720C4">
        <w:rPr>
          <w:rFonts w:ascii="Arial" w:hAnsi="Arial" w:cs="Arial"/>
        </w:rPr>
        <w:t xml:space="preserve">świadczeniach, </w:t>
      </w:r>
      <w:r w:rsidR="00B675A3" w:rsidRPr="003720C4">
        <w:rPr>
          <w:rFonts w:ascii="Arial" w:hAnsi="Arial" w:cs="Arial"/>
        </w:rPr>
        <w:t>zasięgn</w:t>
      </w:r>
      <w:r w:rsidR="00746C91">
        <w:rPr>
          <w:rFonts w:ascii="Arial" w:hAnsi="Arial" w:cs="Arial"/>
        </w:rPr>
        <w:t>ął</w:t>
      </w:r>
      <w:r w:rsidR="00B675A3">
        <w:rPr>
          <w:rFonts w:ascii="Arial" w:hAnsi="Arial" w:cs="Arial"/>
        </w:rPr>
        <w:t xml:space="preserve"> </w:t>
      </w:r>
      <w:r w:rsidRPr="003720C4">
        <w:rPr>
          <w:rFonts w:ascii="Arial" w:hAnsi="Arial" w:cs="Arial"/>
        </w:rPr>
        <w:t xml:space="preserve">opinii Naczelnej Rady Lekarskiej, Naczelnej Rady Pielęgniarek i Położnych oraz reprezentatywnych </w:t>
      </w:r>
      <w:r w:rsidRPr="00B675A3">
        <w:rPr>
          <w:rFonts w:ascii="Arial" w:hAnsi="Arial" w:cs="Arial"/>
        </w:rPr>
        <w:t>organizacji świadczeniodawców.</w:t>
      </w:r>
    </w:p>
    <w:p w14:paraId="42438727" w14:textId="43396108" w:rsidR="00746C91" w:rsidRDefault="00746C91" w:rsidP="00746C91">
      <w:pPr>
        <w:pStyle w:val="Bezodstpw"/>
        <w:spacing w:before="120" w:after="120" w:line="360" w:lineRule="auto"/>
        <w:ind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W dniach od 6 maja 2021 r. do 13 maja 2021 r. trwały konsultacje społeczne projektu zarządzenia Prezesa Narodowego Funduszu Zdrowia </w:t>
      </w:r>
      <w:r w:rsidRPr="00746C91">
        <w:rPr>
          <w:rFonts w:ascii="Arial" w:eastAsiaTheme="minorHAnsi" w:hAnsi="Arial" w:cs="Arial"/>
          <w:sz w:val="24"/>
          <w:szCs w:val="24"/>
          <w:lang w:eastAsia="en-US"/>
        </w:rPr>
        <w:t xml:space="preserve">zmieniającego zarządzenie </w:t>
      </w:r>
      <w:r>
        <w:rPr>
          <w:rFonts w:ascii="Arial" w:eastAsiaTheme="minorHAnsi" w:hAnsi="Arial" w:cs="Arial"/>
          <w:sz w:val="24"/>
          <w:szCs w:val="24"/>
          <w:lang w:eastAsia="en-US"/>
        </w:rPr>
        <w:t>w sprawie określenia warunków zawierania i realizacji umów w rodzaju leczenie szpitalne w zakresie chemioterapia.</w:t>
      </w:r>
    </w:p>
    <w:p w14:paraId="60D2815A" w14:textId="666B0AE3" w:rsidR="00F577B1" w:rsidRPr="00F577B1" w:rsidRDefault="00F577B1" w:rsidP="00F577B1">
      <w:pPr>
        <w:pStyle w:val="Tekstpodstawowy"/>
        <w:spacing w:line="360" w:lineRule="auto"/>
        <w:ind w:left="117" w:firstLine="450"/>
        <w:rPr>
          <w:rFonts w:eastAsiaTheme="minorHAnsi"/>
        </w:rPr>
      </w:pPr>
      <w:r w:rsidRPr="00F577B1">
        <w:rPr>
          <w:rFonts w:eastAsiaTheme="minorHAnsi"/>
        </w:rPr>
        <w:t>W trakcie konsultacji do projektu zarządzenia odniosło się 16</w:t>
      </w:r>
      <w:r>
        <w:rPr>
          <w:rFonts w:eastAsiaTheme="minorHAnsi"/>
        </w:rPr>
        <w:t xml:space="preserve"> podmiotów, z </w:t>
      </w:r>
      <w:r w:rsidRPr="00F577B1">
        <w:rPr>
          <w:rFonts w:eastAsiaTheme="minorHAnsi"/>
        </w:rPr>
        <w:t>czego 5 nie zgłosiło uwag.</w:t>
      </w:r>
    </w:p>
    <w:p w14:paraId="08773901" w14:textId="0A81FA5E" w:rsidR="00F577B1" w:rsidRDefault="00F577B1" w:rsidP="00F577B1">
      <w:pPr>
        <w:pStyle w:val="Tekstpodstawowy"/>
        <w:spacing w:line="360" w:lineRule="auto"/>
        <w:ind w:left="117" w:firstLine="450"/>
        <w:rPr>
          <w:rFonts w:eastAsiaTheme="minorHAnsi"/>
        </w:rPr>
      </w:pPr>
      <w:r w:rsidRPr="00F577B1">
        <w:rPr>
          <w:rFonts w:eastAsiaTheme="minorHAnsi"/>
        </w:rPr>
        <w:t xml:space="preserve">Łącznie otrzymano 26 stanowisk do przedmiotowego projektu, w tym 21 zawierających uwagi oraz 5 informujące o ich braku. </w:t>
      </w:r>
    </w:p>
    <w:p w14:paraId="4EFC6452" w14:textId="4AFA2874" w:rsidR="00746C91" w:rsidRDefault="00746C91" w:rsidP="00746C91">
      <w:pPr>
        <w:pStyle w:val="Tekstpodstawowy"/>
        <w:spacing w:line="360" w:lineRule="auto"/>
        <w:ind w:left="117" w:firstLine="450"/>
        <w:rPr>
          <w:rFonts w:eastAsiaTheme="minorHAnsi"/>
        </w:rPr>
      </w:pPr>
      <w:r>
        <w:t xml:space="preserve">Ze względu na </w:t>
      </w:r>
      <w:r w:rsidRPr="00490694">
        <w:t>wprowadz</w:t>
      </w:r>
      <w:r>
        <w:t>enie</w:t>
      </w:r>
      <w:r w:rsidRPr="00490694">
        <w:t xml:space="preserve"> </w:t>
      </w:r>
      <w:r>
        <w:t>zmian</w:t>
      </w:r>
      <w:r w:rsidRPr="00490694">
        <w:t xml:space="preserve"> polegając</w:t>
      </w:r>
      <w:r>
        <w:t>ych</w:t>
      </w:r>
      <w:r w:rsidRPr="00490694">
        <w:t xml:space="preserve"> na przywróceniu możliwości realizacji świadczeń na zasadach obowiązujących do dnia 31 marca 2021 r.</w:t>
      </w:r>
      <w:r>
        <w:t xml:space="preserve">, uwagi </w:t>
      </w:r>
      <w:r>
        <w:rPr>
          <w:rFonts w:eastAsiaTheme="minorHAnsi"/>
        </w:rPr>
        <w:t>oceniono jako niezasadne.</w:t>
      </w:r>
    </w:p>
    <w:p w14:paraId="60257DA8" w14:textId="77777777" w:rsidR="00746C91" w:rsidRPr="00C93C36" w:rsidRDefault="00746C91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</w:p>
    <w:sectPr w:rsidR="00746C91" w:rsidRPr="00C93C36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70DA7" w14:textId="77777777" w:rsidR="006E7C44" w:rsidRDefault="006E7C44" w:rsidP="00EB04C3">
      <w:r>
        <w:separator/>
      </w:r>
    </w:p>
  </w:endnote>
  <w:endnote w:type="continuationSeparator" w:id="0">
    <w:p w14:paraId="1381E0EC" w14:textId="77777777" w:rsidR="006E7C44" w:rsidRDefault="006E7C44" w:rsidP="00EB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7998" w14:textId="77777777" w:rsidR="006E7C44" w:rsidRDefault="006E7C44" w:rsidP="00EB04C3">
      <w:r>
        <w:separator/>
      </w:r>
    </w:p>
  </w:footnote>
  <w:footnote w:type="continuationSeparator" w:id="0">
    <w:p w14:paraId="7072F07C" w14:textId="77777777" w:rsidR="006E7C44" w:rsidRDefault="006E7C44" w:rsidP="00EB0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91A61"/>
    <w:multiLevelType w:val="hybridMultilevel"/>
    <w:tmpl w:val="3BEE7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9014B"/>
    <w:multiLevelType w:val="hybridMultilevel"/>
    <w:tmpl w:val="9D241E70"/>
    <w:lvl w:ilvl="0" w:tplc="2B968FFA">
      <w:start w:val="1"/>
      <w:numFmt w:val="decimal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1FE6078">
      <w:start w:val="1"/>
      <w:numFmt w:val="lowerLetter"/>
      <w:lvlText w:val="%2)"/>
      <w:lvlJc w:val="left"/>
      <w:pPr>
        <w:ind w:left="1535" w:hanging="709"/>
        <w:jc w:val="righ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36C0EAB6">
      <w:numFmt w:val="bullet"/>
      <w:lvlText w:val="•"/>
      <w:lvlJc w:val="left"/>
      <w:pPr>
        <w:ind w:left="1540" w:hanging="709"/>
      </w:pPr>
      <w:rPr>
        <w:rFonts w:hint="default"/>
        <w:lang w:val="pl-PL" w:eastAsia="en-US" w:bidi="ar-SA"/>
      </w:rPr>
    </w:lvl>
    <w:lvl w:ilvl="3" w:tplc="FCA4CFD4">
      <w:numFmt w:val="bullet"/>
      <w:lvlText w:val="•"/>
      <w:lvlJc w:val="left"/>
      <w:pPr>
        <w:ind w:left="2515" w:hanging="709"/>
      </w:pPr>
      <w:rPr>
        <w:rFonts w:hint="default"/>
        <w:lang w:val="pl-PL" w:eastAsia="en-US" w:bidi="ar-SA"/>
      </w:rPr>
    </w:lvl>
    <w:lvl w:ilvl="4" w:tplc="B8E6D68A">
      <w:numFmt w:val="bullet"/>
      <w:lvlText w:val="•"/>
      <w:lvlJc w:val="left"/>
      <w:pPr>
        <w:ind w:left="3491" w:hanging="709"/>
      </w:pPr>
      <w:rPr>
        <w:rFonts w:hint="default"/>
        <w:lang w:val="pl-PL" w:eastAsia="en-US" w:bidi="ar-SA"/>
      </w:rPr>
    </w:lvl>
    <w:lvl w:ilvl="5" w:tplc="FF3EB69C">
      <w:numFmt w:val="bullet"/>
      <w:lvlText w:val="•"/>
      <w:lvlJc w:val="left"/>
      <w:pPr>
        <w:ind w:left="4467" w:hanging="709"/>
      </w:pPr>
      <w:rPr>
        <w:rFonts w:hint="default"/>
        <w:lang w:val="pl-PL" w:eastAsia="en-US" w:bidi="ar-SA"/>
      </w:rPr>
    </w:lvl>
    <w:lvl w:ilvl="6" w:tplc="07D0F5CE">
      <w:numFmt w:val="bullet"/>
      <w:lvlText w:val="•"/>
      <w:lvlJc w:val="left"/>
      <w:pPr>
        <w:ind w:left="5443" w:hanging="709"/>
      </w:pPr>
      <w:rPr>
        <w:rFonts w:hint="default"/>
        <w:lang w:val="pl-PL" w:eastAsia="en-US" w:bidi="ar-SA"/>
      </w:rPr>
    </w:lvl>
    <w:lvl w:ilvl="7" w:tplc="8D12662C">
      <w:numFmt w:val="bullet"/>
      <w:lvlText w:val="•"/>
      <w:lvlJc w:val="left"/>
      <w:pPr>
        <w:ind w:left="6418" w:hanging="709"/>
      </w:pPr>
      <w:rPr>
        <w:rFonts w:hint="default"/>
        <w:lang w:val="pl-PL" w:eastAsia="en-US" w:bidi="ar-SA"/>
      </w:rPr>
    </w:lvl>
    <w:lvl w:ilvl="8" w:tplc="1EBEC97A">
      <w:numFmt w:val="bullet"/>
      <w:lvlText w:val="•"/>
      <w:lvlJc w:val="left"/>
      <w:pPr>
        <w:ind w:left="7394" w:hanging="709"/>
      </w:pPr>
      <w:rPr>
        <w:rFonts w:hint="default"/>
        <w:lang w:val="pl-PL" w:eastAsia="en-US" w:bidi="ar-SA"/>
      </w:rPr>
    </w:lvl>
  </w:abstractNum>
  <w:abstractNum w:abstractNumId="3" w15:restartNumberingAfterBreak="0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35250"/>
    <w:multiLevelType w:val="hybridMultilevel"/>
    <w:tmpl w:val="FAECC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7111C"/>
    <w:multiLevelType w:val="hybridMultilevel"/>
    <w:tmpl w:val="0E16CB64"/>
    <w:lvl w:ilvl="0" w:tplc="1D50E0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6B"/>
    <w:rsid w:val="000006B3"/>
    <w:rsid w:val="00002547"/>
    <w:rsid w:val="000037CA"/>
    <w:rsid w:val="00006B6E"/>
    <w:rsid w:val="0001327B"/>
    <w:rsid w:val="00015AF9"/>
    <w:rsid w:val="00021BA8"/>
    <w:rsid w:val="00022C7E"/>
    <w:rsid w:val="000232BE"/>
    <w:rsid w:val="00023FE4"/>
    <w:rsid w:val="0002441D"/>
    <w:rsid w:val="0002651B"/>
    <w:rsid w:val="0003056E"/>
    <w:rsid w:val="00031A15"/>
    <w:rsid w:val="00031CA7"/>
    <w:rsid w:val="000352F1"/>
    <w:rsid w:val="000368BF"/>
    <w:rsid w:val="000374A8"/>
    <w:rsid w:val="00043311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5C4D"/>
    <w:rsid w:val="00070054"/>
    <w:rsid w:val="00070EE4"/>
    <w:rsid w:val="000725BA"/>
    <w:rsid w:val="00073DB4"/>
    <w:rsid w:val="000755BC"/>
    <w:rsid w:val="000755C8"/>
    <w:rsid w:val="000757A7"/>
    <w:rsid w:val="000767AB"/>
    <w:rsid w:val="00076F8B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97DA9"/>
    <w:rsid w:val="000A08DE"/>
    <w:rsid w:val="000A1913"/>
    <w:rsid w:val="000A269E"/>
    <w:rsid w:val="000A2FD5"/>
    <w:rsid w:val="000A72DA"/>
    <w:rsid w:val="000B0C8D"/>
    <w:rsid w:val="000B2BF8"/>
    <w:rsid w:val="000B3D3E"/>
    <w:rsid w:val="000B58E6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1F6D"/>
    <w:rsid w:val="000D2768"/>
    <w:rsid w:val="000D430B"/>
    <w:rsid w:val="000D6242"/>
    <w:rsid w:val="000D6CE3"/>
    <w:rsid w:val="000D7956"/>
    <w:rsid w:val="000E3AF9"/>
    <w:rsid w:val="000E4315"/>
    <w:rsid w:val="000E5F35"/>
    <w:rsid w:val="000E67AB"/>
    <w:rsid w:val="000E7077"/>
    <w:rsid w:val="000F50DB"/>
    <w:rsid w:val="000F5A9E"/>
    <w:rsid w:val="001008B7"/>
    <w:rsid w:val="00101E2A"/>
    <w:rsid w:val="00102271"/>
    <w:rsid w:val="00103A70"/>
    <w:rsid w:val="00105F6B"/>
    <w:rsid w:val="001103B8"/>
    <w:rsid w:val="001110AD"/>
    <w:rsid w:val="001114CB"/>
    <w:rsid w:val="0011211A"/>
    <w:rsid w:val="001150C3"/>
    <w:rsid w:val="00115318"/>
    <w:rsid w:val="00115957"/>
    <w:rsid w:val="0011764E"/>
    <w:rsid w:val="001234E9"/>
    <w:rsid w:val="00124020"/>
    <w:rsid w:val="00126FE8"/>
    <w:rsid w:val="0012739D"/>
    <w:rsid w:val="0013257E"/>
    <w:rsid w:val="00132CA8"/>
    <w:rsid w:val="00134E67"/>
    <w:rsid w:val="00136F71"/>
    <w:rsid w:val="00137153"/>
    <w:rsid w:val="0014107E"/>
    <w:rsid w:val="00141CB9"/>
    <w:rsid w:val="00142A8C"/>
    <w:rsid w:val="00143229"/>
    <w:rsid w:val="00143ED6"/>
    <w:rsid w:val="0014483E"/>
    <w:rsid w:val="00144B15"/>
    <w:rsid w:val="00145828"/>
    <w:rsid w:val="001527AA"/>
    <w:rsid w:val="00153D4D"/>
    <w:rsid w:val="001560BB"/>
    <w:rsid w:val="001563BC"/>
    <w:rsid w:val="00157137"/>
    <w:rsid w:val="00157357"/>
    <w:rsid w:val="00160622"/>
    <w:rsid w:val="00162617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87306"/>
    <w:rsid w:val="00193D2A"/>
    <w:rsid w:val="001950EC"/>
    <w:rsid w:val="001954FA"/>
    <w:rsid w:val="00195698"/>
    <w:rsid w:val="00197284"/>
    <w:rsid w:val="001A032B"/>
    <w:rsid w:val="001A2C00"/>
    <w:rsid w:val="001A33F1"/>
    <w:rsid w:val="001A602D"/>
    <w:rsid w:val="001A6196"/>
    <w:rsid w:val="001B21C3"/>
    <w:rsid w:val="001B24F4"/>
    <w:rsid w:val="001B26DE"/>
    <w:rsid w:val="001B28AE"/>
    <w:rsid w:val="001B474F"/>
    <w:rsid w:val="001B55AD"/>
    <w:rsid w:val="001B5BFA"/>
    <w:rsid w:val="001C147A"/>
    <w:rsid w:val="001C1EC2"/>
    <w:rsid w:val="001C39FF"/>
    <w:rsid w:val="001C3B9A"/>
    <w:rsid w:val="001C4123"/>
    <w:rsid w:val="001C51EC"/>
    <w:rsid w:val="001C723B"/>
    <w:rsid w:val="001C7D05"/>
    <w:rsid w:val="001D342A"/>
    <w:rsid w:val="001D3C87"/>
    <w:rsid w:val="001E21ED"/>
    <w:rsid w:val="001E5ABC"/>
    <w:rsid w:val="001E6B13"/>
    <w:rsid w:val="001F081C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508B"/>
    <w:rsid w:val="00216A9B"/>
    <w:rsid w:val="0021750C"/>
    <w:rsid w:val="00217C51"/>
    <w:rsid w:val="00221564"/>
    <w:rsid w:val="00221F48"/>
    <w:rsid w:val="00223FD7"/>
    <w:rsid w:val="00225D6B"/>
    <w:rsid w:val="00231F61"/>
    <w:rsid w:val="00233511"/>
    <w:rsid w:val="002360A6"/>
    <w:rsid w:val="00236888"/>
    <w:rsid w:val="00241606"/>
    <w:rsid w:val="0024195C"/>
    <w:rsid w:val="00241C1B"/>
    <w:rsid w:val="0024325E"/>
    <w:rsid w:val="00245F33"/>
    <w:rsid w:val="00246E64"/>
    <w:rsid w:val="00251511"/>
    <w:rsid w:val="00252105"/>
    <w:rsid w:val="0025281D"/>
    <w:rsid w:val="002542AB"/>
    <w:rsid w:val="00255E08"/>
    <w:rsid w:val="00260328"/>
    <w:rsid w:val="00260AE6"/>
    <w:rsid w:val="00262E6F"/>
    <w:rsid w:val="002638D7"/>
    <w:rsid w:val="002639F6"/>
    <w:rsid w:val="00264141"/>
    <w:rsid w:val="00271B85"/>
    <w:rsid w:val="002770F1"/>
    <w:rsid w:val="002829AC"/>
    <w:rsid w:val="00282E37"/>
    <w:rsid w:val="002869AD"/>
    <w:rsid w:val="00286B65"/>
    <w:rsid w:val="0029635A"/>
    <w:rsid w:val="00297557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D0F"/>
    <w:rsid w:val="002C4489"/>
    <w:rsid w:val="002C4890"/>
    <w:rsid w:val="002C51CE"/>
    <w:rsid w:val="002C56AA"/>
    <w:rsid w:val="002C6511"/>
    <w:rsid w:val="002C7E78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69A3"/>
    <w:rsid w:val="002F7116"/>
    <w:rsid w:val="002F720B"/>
    <w:rsid w:val="0030187A"/>
    <w:rsid w:val="0030210F"/>
    <w:rsid w:val="00302219"/>
    <w:rsid w:val="0030249C"/>
    <w:rsid w:val="00302EA2"/>
    <w:rsid w:val="00303895"/>
    <w:rsid w:val="003058C3"/>
    <w:rsid w:val="00306FE1"/>
    <w:rsid w:val="00310A8F"/>
    <w:rsid w:val="00313342"/>
    <w:rsid w:val="0031478E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3E87"/>
    <w:rsid w:val="00325D4C"/>
    <w:rsid w:val="0033111D"/>
    <w:rsid w:val="003320D9"/>
    <w:rsid w:val="00333945"/>
    <w:rsid w:val="00333C55"/>
    <w:rsid w:val="00336EE1"/>
    <w:rsid w:val="00337EFF"/>
    <w:rsid w:val="0034177F"/>
    <w:rsid w:val="00343633"/>
    <w:rsid w:val="00344AD6"/>
    <w:rsid w:val="003472C3"/>
    <w:rsid w:val="00350D7C"/>
    <w:rsid w:val="00352C2F"/>
    <w:rsid w:val="00353178"/>
    <w:rsid w:val="003543A4"/>
    <w:rsid w:val="003547C8"/>
    <w:rsid w:val="003558CF"/>
    <w:rsid w:val="0036079C"/>
    <w:rsid w:val="0036312F"/>
    <w:rsid w:val="003647C0"/>
    <w:rsid w:val="003660BE"/>
    <w:rsid w:val="00370864"/>
    <w:rsid w:val="00370E13"/>
    <w:rsid w:val="003720C4"/>
    <w:rsid w:val="003771C3"/>
    <w:rsid w:val="003801F4"/>
    <w:rsid w:val="00383794"/>
    <w:rsid w:val="0039652D"/>
    <w:rsid w:val="00397DE0"/>
    <w:rsid w:val="003A2ED9"/>
    <w:rsid w:val="003A3434"/>
    <w:rsid w:val="003A3A31"/>
    <w:rsid w:val="003A5BBC"/>
    <w:rsid w:val="003A71E8"/>
    <w:rsid w:val="003B060D"/>
    <w:rsid w:val="003B2635"/>
    <w:rsid w:val="003B4198"/>
    <w:rsid w:val="003B5DFC"/>
    <w:rsid w:val="003B6BDD"/>
    <w:rsid w:val="003B6E16"/>
    <w:rsid w:val="003C2A1D"/>
    <w:rsid w:val="003C52E1"/>
    <w:rsid w:val="003C5E4A"/>
    <w:rsid w:val="003C6106"/>
    <w:rsid w:val="003C7B30"/>
    <w:rsid w:val="003D18EA"/>
    <w:rsid w:val="003D1DE9"/>
    <w:rsid w:val="003D399B"/>
    <w:rsid w:val="003D3B21"/>
    <w:rsid w:val="003D40FF"/>
    <w:rsid w:val="003D66FC"/>
    <w:rsid w:val="003D7179"/>
    <w:rsid w:val="003D745A"/>
    <w:rsid w:val="003D7BBB"/>
    <w:rsid w:val="003D7D7A"/>
    <w:rsid w:val="003D7EEA"/>
    <w:rsid w:val="003E05D9"/>
    <w:rsid w:val="003E6B97"/>
    <w:rsid w:val="003F514E"/>
    <w:rsid w:val="003F58BF"/>
    <w:rsid w:val="003F6334"/>
    <w:rsid w:val="003F74AB"/>
    <w:rsid w:val="00401482"/>
    <w:rsid w:val="00401589"/>
    <w:rsid w:val="00402CFD"/>
    <w:rsid w:val="004034FC"/>
    <w:rsid w:val="0040396F"/>
    <w:rsid w:val="004054C9"/>
    <w:rsid w:val="00405719"/>
    <w:rsid w:val="00406AB0"/>
    <w:rsid w:val="004075D1"/>
    <w:rsid w:val="00411665"/>
    <w:rsid w:val="0041201F"/>
    <w:rsid w:val="004146B7"/>
    <w:rsid w:val="00414906"/>
    <w:rsid w:val="004168CE"/>
    <w:rsid w:val="0042283A"/>
    <w:rsid w:val="00422DA6"/>
    <w:rsid w:val="004238DC"/>
    <w:rsid w:val="00423EC1"/>
    <w:rsid w:val="00426016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1366"/>
    <w:rsid w:val="00472FB4"/>
    <w:rsid w:val="00475ED9"/>
    <w:rsid w:val="00476924"/>
    <w:rsid w:val="0047769D"/>
    <w:rsid w:val="0048006A"/>
    <w:rsid w:val="004813F2"/>
    <w:rsid w:val="00481BC8"/>
    <w:rsid w:val="00481D41"/>
    <w:rsid w:val="00482B70"/>
    <w:rsid w:val="00484087"/>
    <w:rsid w:val="004852F5"/>
    <w:rsid w:val="004863C4"/>
    <w:rsid w:val="00490694"/>
    <w:rsid w:val="004929BF"/>
    <w:rsid w:val="00497390"/>
    <w:rsid w:val="004A09D8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90A"/>
    <w:rsid w:val="004C5EE2"/>
    <w:rsid w:val="004C6D64"/>
    <w:rsid w:val="004C7372"/>
    <w:rsid w:val="004C7D52"/>
    <w:rsid w:val="004D2832"/>
    <w:rsid w:val="004D5BCA"/>
    <w:rsid w:val="004D6EA7"/>
    <w:rsid w:val="004E1481"/>
    <w:rsid w:val="004E1508"/>
    <w:rsid w:val="004E2768"/>
    <w:rsid w:val="004E3085"/>
    <w:rsid w:val="004E7D7C"/>
    <w:rsid w:val="004F3A83"/>
    <w:rsid w:val="004F46E7"/>
    <w:rsid w:val="004F4C97"/>
    <w:rsid w:val="004F671D"/>
    <w:rsid w:val="004F76D6"/>
    <w:rsid w:val="004F7A7C"/>
    <w:rsid w:val="00500938"/>
    <w:rsid w:val="005020E4"/>
    <w:rsid w:val="00502510"/>
    <w:rsid w:val="00505D86"/>
    <w:rsid w:val="0050649F"/>
    <w:rsid w:val="00506AD2"/>
    <w:rsid w:val="005101F7"/>
    <w:rsid w:val="0051054D"/>
    <w:rsid w:val="005117F1"/>
    <w:rsid w:val="00511B4A"/>
    <w:rsid w:val="00514734"/>
    <w:rsid w:val="0051788F"/>
    <w:rsid w:val="005201BB"/>
    <w:rsid w:val="005228DB"/>
    <w:rsid w:val="00522FDD"/>
    <w:rsid w:val="00523424"/>
    <w:rsid w:val="005243BB"/>
    <w:rsid w:val="00524791"/>
    <w:rsid w:val="00525B21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126"/>
    <w:rsid w:val="005455C7"/>
    <w:rsid w:val="005468B8"/>
    <w:rsid w:val="005474B0"/>
    <w:rsid w:val="00550BEB"/>
    <w:rsid w:val="005524DC"/>
    <w:rsid w:val="005528C1"/>
    <w:rsid w:val="0055490E"/>
    <w:rsid w:val="005619EA"/>
    <w:rsid w:val="00562271"/>
    <w:rsid w:val="00565B98"/>
    <w:rsid w:val="00566237"/>
    <w:rsid w:val="00575CF7"/>
    <w:rsid w:val="00580867"/>
    <w:rsid w:val="00581CFF"/>
    <w:rsid w:val="005828DC"/>
    <w:rsid w:val="005848E7"/>
    <w:rsid w:val="00585CFA"/>
    <w:rsid w:val="00587EAF"/>
    <w:rsid w:val="005904E4"/>
    <w:rsid w:val="00591010"/>
    <w:rsid w:val="00592957"/>
    <w:rsid w:val="00593512"/>
    <w:rsid w:val="00595642"/>
    <w:rsid w:val="00595BE6"/>
    <w:rsid w:val="00596B91"/>
    <w:rsid w:val="005978C4"/>
    <w:rsid w:val="005A0850"/>
    <w:rsid w:val="005A2843"/>
    <w:rsid w:val="005A315F"/>
    <w:rsid w:val="005A38BF"/>
    <w:rsid w:val="005A5A99"/>
    <w:rsid w:val="005B04E4"/>
    <w:rsid w:val="005B4208"/>
    <w:rsid w:val="005B536C"/>
    <w:rsid w:val="005B5939"/>
    <w:rsid w:val="005B5A5E"/>
    <w:rsid w:val="005B5A69"/>
    <w:rsid w:val="005B6BAE"/>
    <w:rsid w:val="005C05E1"/>
    <w:rsid w:val="005C19AB"/>
    <w:rsid w:val="005D0E35"/>
    <w:rsid w:val="005D4745"/>
    <w:rsid w:val="005D5ACD"/>
    <w:rsid w:val="005E17EF"/>
    <w:rsid w:val="005E1A0E"/>
    <w:rsid w:val="005E33B9"/>
    <w:rsid w:val="005E5D7E"/>
    <w:rsid w:val="005E780D"/>
    <w:rsid w:val="005F186F"/>
    <w:rsid w:val="0060081B"/>
    <w:rsid w:val="00600C16"/>
    <w:rsid w:val="00604702"/>
    <w:rsid w:val="00605B58"/>
    <w:rsid w:val="00607EEC"/>
    <w:rsid w:val="006112DC"/>
    <w:rsid w:val="00611D22"/>
    <w:rsid w:val="00614005"/>
    <w:rsid w:val="00615ED1"/>
    <w:rsid w:val="0061749C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1BCC"/>
    <w:rsid w:val="00643CB7"/>
    <w:rsid w:val="00645CA6"/>
    <w:rsid w:val="00650A65"/>
    <w:rsid w:val="00650F75"/>
    <w:rsid w:val="006600D2"/>
    <w:rsid w:val="00661C06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901E4"/>
    <w:rsid w:val="006911D8"/>
    <w:rsid w:val="00691555"/>
    <w:rsid w:val="006930A3"/>
    <w:rsid w:val="006976AD"/>
    <w:rsid w:val="006A324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C5D1C"/>
    <w:rsid w:val="006C7D36"/>
    <w:rsid w:val="006D1066"/>
    <w:rsid w:val="006D2881"/>
    <w:rsid w:val="006D3015"/>
    <w:rsid w:val="006D3035"/>
    <w:rsid w:val="006D597B"/>
    <w:rsid w:val="006D61BC"/>
    <w:rsid w:val="006D6E5C"/>
    <w:rsid w:val="006E06BB"/>
    <w:rsid w:val="006E097D"/>
    <w:rsid w:val="006E79AF"/>
    <w:rsid w:val="006E79BB"/>
    <w:rsid w:val="006E7C44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1A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4A57"/>
    <w:rsid w:val="007251C3"/>
    <w:rsid w:val="00725D60"/>
    <w:rsid w:val="00726B88"/>
    <w:rsid w:val="007329AF"/>
    <w:rsid w:val="00732A44"/>
    <w:rsid w:val="00732D5A"/>
    <w:rsid w:val="00733384"/>
    <w:rsid w:val="00735A5C"/>
    <w:rsid w:val="0073757B"/>
    <w:rsid w:val="00737981"/>
    <w:rsid w:val="00745144"/>
    <w:rsid w:val="00745485"/>
    <w:rsid w:val="0074693E"/>
    <w:rsid w:val="00746C91"/>
    <w:rsid w:val="00746CF7"/>
    <w:rsid w:val="007477ED"/>
    <w:rsid w:val="007526AF"/>
    <w:rsid w:val="007536A8"/>
    <w:rsid w:val="007548A8"/>
    <w:rsid w:val="00754C16"/>
    <w:rsid w:val="00755D45"/>
    <w:rsid w:val="0076027F"/>
    <w:rsid w:val="00760C84"/>
    <w:rsid w:val="007610FF"/>
    <w:rsid w:val="0076130E"/>
    <w:rsid w:val="007625AA"/>
    <w:rsid w:val="007637F8"/>
    <w:rsid w:val="0076577C"/>
    <w:rsid w:val="00766116"/>
    <w:rsid w:val="00770AFD"/>
    <w:rsid w:val="00771D31"/>
    <w:rsid w:val="00771F9B"/>
    <w:rsid w:val="0077248E"/>
    <w:rsid w:val="007738BE"/>
    <w:rsid w:val="0077598E"/>
    <w:rsid w:val="00780EB6"/>
    <w:rsid w:val="007856E7"/>
    <w:rsid w:val="007906AE"/>
    <w:rsid w:val="00791935"/>
    <w:rsid w:val="00791CE8"/>
    <w:rsid w:val="00791FAC"/>
    <w:rsid w:val="0079363A"/>
    <w:rsid w:val="00795E12"/>
    <w:rsid w:val="007972DD"/>
    <w:rsid w:val="007A032A"/>
    <w:rsid w:val="007A04B9"/>
    <w:rsid w:val="007A385E"/>
    <w:rsid w:val="007A4E14"/>
    <w:rsid w:val="007A5355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16F9"/>
    <w:rsid w:val="007C3D16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22A6"/>
    <w:rsid w:val="007E3980"/>
    <w:rsid w:val="007E770E"/>
    <w:rsid w:val="007F31BC"/>
    <w:rsid w:val="007F6863"/>
    <w:rsid w:val="00800990"/>
    <w:rsid w:val="00800E6B"/>
    <w:rsid w:val="00801809"/>
    <w:rsid w:val="00802232"/>
    <w:rsid w:val="00802602"/>
    <w:rsid w:val="00804076"/>
    <w:rsid w:val="00804941"/>
    <w:rsid w:val="00806C6D"/>
    <w:rsid w:val="00806D60"/>
    <w:rsid w:val="0081086C"/>
    <w:rsid w:val="00813433"/>
    <w:rsid w:val="00816645"/>
    <w:rsid w:val="008206BD"/>
    <w:rsid w:val="00822A93"/>
    <w:rsid w:val="008230AC"/>
    <w:rsid w:val="008232FC"/>
    <w:rsid w:val="00825265"/>
    <w:rsid w:val="0082673D"/>
    <w:rsid w:val="0083000B"/>
    <w:rsid w:val="0083024F"/>
    <w:rsid w:val="00834D4A"/>
    <w:rsid w:val="00834DD5"/>
    <w:rsid w:val="008356C0"/>
    <w:rsid w:val="00837040"/>
    <w:rsid w:val="00837486"/>
    <w:rsid w:val="0084045E"/>
    <w:rsid w:val="00844236"/>
    <w:rsid w:val="008444D0"/>
    <w:rsid w:val="00845753"/>
    <w:rsid w:val="008507BA"/>
    <w:rsid w:val="00850953"/>
    <w:rsid w:val="00850C4E"/>
    <w:rsid w:val="00852F8C"/>
    <w:rsid w:val="0085627C"/>
    <w:rsid w:val="008575C3"/>
    <w:rsid w:val="00857F80"/>
    <w:rsid w:val="00860CB3"/>
    <w:rsid w:val="0086336A"/>
    <w:rsid w:val="008638FE"/>
    <w:rsid w:val="00864321"/>
    <w:rsid w:val="00866711"/>
    <w:rsid w:val="00870ADC"/>
    <w:rsid w:val="00870D1B"/>
    <w:rsid w:val="00873862"/>
    <w:rsid w:val="0088050B"/>
    <w:rsid w:val="0088169C"/>
    <w:rsid w:val="00883EAC"/>
    <w:rsid w:val="0088422B"/>
    <w:rsid w:val="00885BA8"/>
    <w:rsid w:val="008862F8"/>
    <w:rsid w:val="008863EA"/>
    <w:rsid w:val="00890A54"/>
    <w:rsid w:val="0089123D"/>
    <w:rsid w:val="0089152B"/>
    <w:rsid w:val="00892DA8"/>
    <w:rsid w:val="0089510F"/>
    <w:rsid w:val="00897D84"/>
    <w:rsid w:val="008A2B51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2AB"/>
    <w:rsid w:val="008F54E9"/>
    <w:rsid w:val="008F5DE6"/>
    <w:rsid w:val="008F723A"/>
    <w:rsid w:val="00900055"/>
    <w:rsid w:val="00903883"/>
    <w:rsid w:val="009040FF"/>
    <w:rsid w:val="00907E0B"/>
    <w:rsid w:val="00907F28"/>
    <w:rsid w:val="00912ECC"/>
    <w:rsid w:val="00913B0B"/>
    <w:rsid w:val="00914321"/>
    <w:rsid w:val="00917B23"/>
    <w:rsid w:val="009202D6"/>
    <w:rsid w:val="00922B4B"/>
    <w:rsid w:val="00923BBE"/>
    <w:rsid w:val="009276C2"/>
    <w:rsid w:val="00927D01"/>
    <w:rsid w:val="009400DA"/>
    <w:rsid w:val="0094145C"/>
    <w:rsid w:val="0094396B"/>
    <w:rsid w:val="009448D0"/>
    <w:rsid w:val="00944F12"/>
    <w:rsid w:val="00954464"/>
    <w:rsid w:val="00955FAB"/>
    <w:rsid w:val="00965863"/>
    <w:rsid w:val="0097002F"/>
    <w:rsid w:val="00971F0F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A4594"/>
    <w:rsid w:val="009B0EF6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524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4A2"/>
    <w:rsid w:val="00A21ACB"/>
    <w:rsid w:val="00A23C43"/>
    <w:rsid w:val="00A30B94"/>
    <w:rsid w:val="00A31D2E"/>
    <w:rsid w:val="00A35BFF"/>
    <w:rsid w:val="00A374A6"/>
    <w:rsid w:val="00A37A35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2F15"/>
    <w:rsid w:val="00A5378B"/>
    <w:rsid w:val="00A62D5D"/>
    <w:rsid w:val="00A644C6"/>
    <w:rsid w:val="00A72E80"/>
    <w:rsid w:val="00A7496F"/>
    <w:rsid w:val="00A74A62"/>
    <w:rsid w:val="00A75666"/>
    <w:rsid w:val="00A77172"/>
    <w:rsid w:val="00A8120C"/>
    <w:rsid w:val="00A8279F"/>
    <w:rsid w:val="00A84781"/>
    <w:rsid w:val="00A85238"/>
    <w:rsid w:val="00A85649"/>
    <w:rsid w:val="00A86A2C"/>
    <w:rsid w:val="00A90B86"/>
    <w:rsid w:val="00A91E4D"/>
    <w:rsid w:val="00A9225D"/>
    <w:rsid w:val="00A940E1"/>
    <w:rsid w:val="00AA3BD6"/>
    <w:rsid w:val="00AA3E80"/>
    <w:rsid w:val="00AA4A66"/>
    <w:rsid w:val="00AA4C00"/>
    <w:rsid w:val="00AB2F67"/>
    <w:rsid w:val="00AB35D8"/>
    <w:rsid w:val="00AB50CB"/>
    <w:rsid w:val="00AB5C0D"/>
    <w:rsid w:val="00AB6054"/>
    <w:rsid w:val="00AB62DC"/>
    <w:rsid w:val="00AB6504"/>
    <w:rsid w:val="00AB6F33"/>
    <w:rsid w:val="00AB7568"/>
    <w:rsid w:val="00AC02C1"/>
    <w:rsid w:val="00AC2816"/>
    <w:rsid w:val="00AC2EB7"/>
    <w:rsid w:val="00AC4137"/>
    <w:rsid w:val="00AC79DE"/>
    <w:rsid w:val="00AC79E0"/>
    <w:rsid w:val="00AC7F51"/>
    <w:rsid w:val="00AD06A5"/>
    <w:rsid w:val="00AD325C"/>
    <w:rsid w:val="00AD3D35"/>
    <w:rsid w:val="00AD5662"/>
    <w:rsid w:val="00AD6B46"/>
    <w:rsid w:val="00AD7EA1"/>
    <w:rsid w:val="00AE0A92"/>
    <w:rsid w:val="00AE13A6"/>
    <w:rsid w:val="00AE7BB3"/>
    <w:rsid w:val="00AF05AA"/>
    <w:rsid w:val="00AF4476"/>
    <w:rsid w:val="00AF4643"/>
    <w:rsid w:val="00AF5DC1"/>
    <w:rsid w:val="00B00F7A"/>
    <w:rsid w:val="00B02A76"/>
    <w:rsid w:val="00B05AC6"/>
    <w:rsid w:val="00B063E8"/>
    <w:rsid w:val="00B06A5F"/>
    <w:rsid w:val="00B07651"/>
    <w:rsid w:val="00B10D52"/>
    <w:rsid w:val="00B13BFF"/>
    <w:rsid w:val="00B156A9"/>
    <w:rsid w:val="00B16716"/>
    <w:rsid w:val="00B17B91"/>
    <w:rsid w:val="00B20079"/>
    <w:rsid w:val="00B22ACC"/>
    <w:rsid w:val="00B25212"/>
    <w:rsid w:val="00B30F7F"/>
    <w:rsid w:val="00B32347"/>
    <w:rsid w:val="00B418B9"/>
    <w:rsid w:val="00B45E22"/>
    <w:rsid w:val="00B45EBB"/>
    <w:rsid w:val="00B4761D"/>
    <w:rsid w:val="00B503E2"/>
    <w:rsid w:val="00B50B0D"/>
    <w:rsid w:val="00B52120"/>
    <w:rsid w:val="00B52596"/>
    <w:rsid w:val="00B52606"/>
    <w:rsid w:val="00B559A5"/>
    <w:rsid w:val="00B60F61"/>
    <w:rsid w:val="00B66A71"/>
    <w:rsid w:val="00B675A3"/>
    <w:rsid w:val="00B728B2"/>
    <w:rsid w:val="00B761B7"/>
    <w:rsid w:val="00B77293"/>
    <w:rsid w:val="00B8090A"/>
    <w:rsid w:val="00B81D15"/>
    <w:rsid w:val="00B8652B"/>
    <w:rsid w:val="00B87562"/>
    <w:rsid w:val="00B9140E"/>
    <w:rsid w:val="00B9272E"/>
    <w:rsid w:val="00B96507"/>
    <w:rsid w:val="00BA1872"/>
    <w:rsid w:val="00BA1D7F"/>
    <w:rsid w:val="00BA27CA"/>
    <w:rsid w:val="00BA2DF1"/>
    <w:rsid w:val="00BA4B0D"/>
    <w:rsid w:val="00BA5574"/>
    <w:rsid w:val="00BB18FF"/>
    <w:rsid w:val="00BB63E8"/>
    <w:rsid w:val="00BB7079"/>
    <w:rsid w:val="00BC12E6"/>
    <w:rsid w:val="00BC156C"/>
    <w:rsid w:val="00BC5446"/>
    <w:rsid w:val="00BC7054"/>
    <w:rsid w:val="00BC74AE"/>
    <w:rsid w:val="00BC7B47"/>
    <w:rsid w:val="00BD1225"/>
    <w:rsid w:val="00BD4464"/>
    <w:rsid w:val="00BD7611"/>
    <w:rsid w:val="00BD76B9"/>
    <w:rsid w:val="00BE3D28"/>
    <w:rsid w:val="00BE48AA"/>
    <w:rsid w:val="00BE58A8"/>
    <w:rsid w:val="00BE6A7B"/>
    <w:rsid w:val="00BF3F6F"/>
    <w:rsid w:val="00BF425A"/>
    <w:rsid w:val="00BF51CA"/>
    <w:rsid w:val="00BF5914"/>
    <w:rsid w:val="00BF69FE"/>
    <w:rsid w:val="00BF7BD1"/>
    <w:rsid w:val="00C0335E"/>
    <w:rsid w:val="00C03383"/>
    <w:rsid w:val="00C065B5"/>
    <w:rsid w:val="00C11E6E"/>
    <w:rsid w:val="00C12452"/>
    <w:rsid w:val="00C1395D"/>
    <w:rsid w:val="00C15B72"/>
    <w:rsid w:val="00C17482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0E70"/>
    <w:rsid w:val="00C320FE"/>
    <w:rsid w:val="00C426BC"/>
    <w:rsid w:val="00C42DC2"/>
    <w:rsid w:val="00C43761"/>
    <w:rsid w:val="00C454F3"/>
    <w:rsid w:val="00C45FF8"/>
    <w:rsid w:val="00C51FF2"/>
    <w:rsid w:val="00C533AD"/>
    <w:rsid w:val="00C53B8F"/>
    <w:rsid w:val="00C5479E"/>
    <w:rsid w:val="00C550C6"/>
    <w:rsid w:val="00C57D93"/>
    <w:rsid w:val="00C6070C"/>
    <w:rsid w:val="00C630CB"/>
    <w:rsid w:val="00C66DC8"/>
    <w:rsid w:val="00C677E0"/>
    <w:rsid w:val="00C71433"/>
    <w:rsid w:val="00C71BBF"/>
    <w:rsid w:val="00C72290"/>
    <w:rsid w:val="00C72F95"/>
    <w:rsid w:val="00C74004"/>
    <w:rsid w:val="00C74C16"/>
    <w:rsid w:val="00C74F2F"/>
    <w:rsid w:val="00C80FB8"/>
    <w:rsid w:val="00C81327"/>
    <w:rsid w:val="00C81646"/>
    <w:rsid w:val="00C84100"/>
    <w:rsid w:val="00C84BE4"/>
    <w:rsid w:val="00C8720D"/>
    <w:rsid w:val="00C91AE5"/>
    <w:rsid w:val="00C93131"/>
    <w:rsid w:val="00C93766"/>
    <w:rsid w:val="00C93C36"/>
    <w:rsid w:val="00C95E29"/>
    <w:rsid w:val="00C96D6E"/>
    <w:rsid w:val="00CA074F"/>
    <w:rsid w:val="00CA1156"/>
    <w:rsid w:val="00CA1CFE"/>
    <w:rsid w:val="00CA21A4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C6F5C"/>
    <w:rsid w:val="00CD01C7"/>
    <w:rsid w:val="00CD1D23"/>
    <w:rsid w:val="00CD1F71"/>
    <w:rsid w:val="00CD2968"/>
    <w:rsid w:val="00CD30C8"/>
    <w:rsid w:val="00CD537B"/>
    <w:rsid w:val="00CD73ED"/>
    <w:rsid w:val="00CE036E"/>
    <w:rsid w:val="00CE17CD"/>
    <w:rsid w:val="00CE2973"/>
    <w:rsid w:val="00CE478D"/>
    <w:rsid w:val="00CE531B"/>
    <w:rsid w:val="00CF0E52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0664"/>
    <w:rsid w:val="00D245BC"/>
    <w:rsid w:val="00D2653B"/>
    <w:rsid w:val="00D32C11"/>
    <w:rsid w:val="00D34275"/>
    <w:rsid w:val="00D361AA"/>
    <w:rsid w:val="00D40557"/>
    <w:rsid w:val="00D40917"/>
    <w:rsid w:val="00D44FD2"/>
    <w:rsid w:val="00D46009"/>
    <w:rsid w:val="00D46480"/>
    <w:rsid w:val="00D47107"/>
    <w:rsid w:val="00D50FF8"/>
    <w:rsid w:val="00D559F2"/>
    <w:rsid w:val="00D6070B"/>
    <w:rsid w:val="00D650E4"/>
    <w:rsid w:val="00D7139E"/>
    <w:rsid w:val="00D72516"/>
    <w:rsid w:val="00D761C9"/>
    <w:rsid w:val="00D776D9"/>
    <w:rsid w:val="00D77AC9"/>
    <w:rsid w:val="00D82340"/>
    <w:rsid w:val="00D87E04"/>
    <w:rsid w:val="00D92060"/>
    <w:rsid w:val="00D960D9"/>
    <w:rsid w:val="00DA4FFF"/>
    <w:rsid w:val="00DA7A80"/>
    <w:rsid w:val="00DB1F4F"/>
    <w:rsid w:val="00DB2372"/>
    <w:rsid w:val="00DB3030"/>
    <w:rsid w:val="00DB3D51"/>
    <w:rsid w:val="00DB3ED8"/>
    <w:rsid w:val="00DB44B2"/>
    <w:rsid w:val="00DB4AE7"/>
    <w:rsid w:val="00DB6D22"/>
    <w:rsid w:val="00DB7017"/>
    <w:rsid w:val="00DB78F0"/>
    <w:rsid w:val="00DC0E58"/>
    <w:rsid w:val="00DC1F77"/>
    <w:rsid w:val="00DC3CAF"/>
    <w:rsid w:val="00DC4E3F"/>
    <w:rsid w:val="00DC5531"/>
    <w:rsid w:val="00DD14F7"/>
    <w:rsid w:val="00DD2835"/>
    <w:rsid w:val="00DD3EDB"/>
    <w:rsid w:val="00DD4684"/>
    <w:rsid w:val="00DD5CFF"/>
    <w:rsid w:val="00DE0D3D"/>
    <w:rsid w:val="00DE3BE6"/>
    <w:rsid w:val="00DE3DF9"/>
    <w:rsid w:val="00DE45C1"/>
    <w:rsid w:val="00DE4A4A"/>
    <w:rsid w:val="00DF038D"/>
    <w:rsid w:val="00DF1AED"/>
    <w:rsid w:val="00DF29B6"/>
    <w:rsid w:val="00DF2DC5"/>
    <w:rsid w:val="00DF2F2F"/>
    <w:rsid w:val="00E00504"/>
    <w:rsid w:val="00E014AA"/>
    <w:rsid w:val="00E016A5"/>
    <w:rsid w:val="00E04F6C"/>
    <w:rsid w:val="00E058F7"/>
    <w:rsid w:val="00E11D0E"/>
    <w:rsid w:val="00E158E5"/>
    <w:rsid w:val="00E174F6"/>
    <w:rsid w:val="00E20ADC"/>
    <w:rsid w:val="00E20FD1"/>
    <w:rsid w:val="00E21C76"/>
    <w:rsid w:val="00E22972"/>
    <w:rsid w:val="00E231A3"/>
    <w:rsid w:val="00E25E49"/>
    <w:rsid w:val="00E30E4A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5CF"/>
    <w:rsid w:val="00E53B09"/>
    <w:rsid w:val="00E54A92"/>
    <w:rsid w:val="00E56AA9"/>
    <w:rsid w:val="00E57F6A"/>
    <w:rsid w:val="00E62AD0"/>
    <w:rsid w:val="00E63267"/>
    <w:rsid w:val="00E63511"/>
    <w:rsid w:val="00E652F7"/>
    <w:rsid w:val="00E70862"/>
    <w:rsid w:val="00E71A8C"/>
    <w:rsid w:val="00E76B22"/>
    <w:rsid w:val="00E77789"/>
    <w:rsid w:val="00E80AF5"/>
    <w:rsid w:val="00E817F0"/>
    <w:rsid w:val="00E83E12"/>
    <w:rsid w:val="00E84838"/>
    <w:rsid w:val="00E910CE"/>
    <w:rsid w:val="00E91D8B"/>
    <w:rsid w:val="00E92175"/>
    <w:rsid w:val="00E9336A"/>
    <w:rsid w:val="00E9509A"/>
    <w:rsid w:val="00E964C2"/>
    <w:rsid w:val="00E96ECD"/>
    <w:rsid w:val="00EA0116"/>
    <w:rsid w:val="00EA33FC"/>
    <w:rsid w:val="00EA3FF8"/>
    <w:rsid w:val="00EB04C3"/>
    <w:rsid w:val="00EB090C"/>
    <w:rsid w:val="00EB1673"/>
    <w:rsid w:val="00EB1CD6"/>
    <w:rsid w:val="00EB2504"/>
    <w:rsid w:val="00EB298A"/>
    <w:rsid w:val="00EB4BCE"/>
    <w:rsid w:val="00EB65DA"/>
    <w:rsid w:val="00EC108E"/>
    <w:rsid w:val="00EC2F64"/>
    <w:rsid w:val="00EC3936"/>
    <w:rsid w:val="00EC39B3"/>
    <w:rsid w:val="00EC4394"/>
    <w:rsid w:val="00ED10D2"/>
    <w:rsid w:val="00ED1C62"/>
    <w:rsid w:val="00ED21E1"/>
    <w:rsid w:val="00ED3B81"/>
    <w:rsid w:val="00ED3E50"/>
    <w:rsid w:val="00ED4588"/>
    <w:rsid w:val="00ED462F"/>
    <w:rsid w:val="00ED4AF7"/>
    <w:rsid w:val="00ED64B0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45B1"/>
    <w:rsid w:val="00F05E99"/>
    <w:rsid w:val="00F07942"/>
    <w:rsid w:val="00F10EEE"/>
    <w:rsid w:val="00F126E4"/>
    <w:rsid w:val="00F1430C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168A"/>
    <w:rsid w:val="00F52038"/>
    <w:rsid w:val="00F54569"/>
    <w:rsid w:val="00F55ED1"/>
    <w:rsid w:val="00F577B1"/>
    <w:rsid w:val="00F60368"/>
    <w:rsid w:val="00F60AA7"/>
    <w:rsid w:val="00F60B4F"/>
    <w:rsid w:val="00F6100E"/>
    <w:rsid w:val="00F6303E"/>
    <w:rsid w:val="00F644E8"/>
    <w:rsid w:val="00F7025C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C7DBC"/>
    <w:rsid w:val="00FD0536"/>
    <w:rsid w:val="00FD1F56"/>
    <w:rsid w:val="00FD251F"/>
    <w:rsid w:val="00FD3188"/>
    <w:rsid w:val="00FD56E5"/>
    <w:rsid w:val="00FD6D06"/>
    <w:rsid w:val="00FD747F"/>
    <w:rsid w:val="00FE0B2B"/>
    <w:rsid w:val="00FE4D4E"/>
    <w:rsid w:val="00FE6D21"/>
    <w:rsid w:val="00FE7809"/>
    <w:rsid w:val="00FF0FDA"/>
    <w:rsid w:val="00FF1E5D"/>
    <w:rsid w:val="00FF3222"/>
    <w:rsid w:val="00FF414B"/>
    <w:rsid w:val="00FF43AB"/>
    <w:rsid w:val="00FF4703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  <w15:docId w15:val="{7EDCD3E2-738C-4174-BCF4-9DA86A91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0E5F35"/>
    <w:pPr>
      <w:widowControl w:val="0"/>
      <w:autoSpaceDE w:val="0"/>
      <w:autoSpaceDN w:val="0"/>
      <w:ind w:left="836" w:right="155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5F35"/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B6DB9-F9EE-4782-B0DB-ABF69346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Kociubowska Ewa</cp:lastModifiedBy>
  <cp:revision>2</cp:revision>
  <cp:lastPrinted>2021-05-10T14:17:00Z</cp:lastPrinted>
  <dcterms:created xsi:type="dcterms:W3CDTF">2021-05-14T06:43:00Z</dcterms:created>
  <dcterms:modified xsi:type="dcterms:W3CDTF">2021-05-14T06:43:00Z</dcterms:modified>
</cp:coreProperties>
</file>