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87"/>
      </w:pPr>
      <w:r>
        <w:rPr/>
        <w:t>ZARZĄDZENIE Nr 28/2021/DGL PREZESA</w:t>
      </w:r>
    </w:p>
    <w:p>
      <w:pPr>
        <w:spacing w:before="0"/>
        <w:ind w:left="2485" w:right="2488" w:firstLine="0"/>
        <w:jc w:val="center"/>
        <w:rPr>
          <w:b/>
          <w:sz w:val="24"/>
        </w:rPr>
      </w:pPr>
      <w:r>
        <w:rPr>
          <w:b/>
          <w:sz w:val="24"/>
        </w:rPr>
        <w:t>NARODOWEGO FUNDUSZU 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85" w:right="2485"/>
        <w:jc w:val="center"/>
      </w:pPr>
      <w:r>
        <w:rPr/>
        <w:t>z dnia 10.02.2021 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270" w:right="204"/>
      </w:pPr>
      <w:r>
        <w:rPr/>
        <w:t>zmieniające zarządzenie w sprawie określenia warunków zawierania i realizacji umów w rodzaju leczenie szpitalne w zakresie chemioterapia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230" w:right="233" w:firstLine="567"/>
        <w:jc w:val="both"/>
      </w:pPr>
      <w:r>
        <w:rPr/>
        <w:t>Na</w:t>
      </w:r>
      <w:r>
        <w:rPr>
          <w:spacing w:val="-10"/>
        </w:rPr>
        <w:t> </w:t>
      </w:r>
      <w:r>
        <w:rPr/>
        <w:t>podstawie</w:t>
      </w:r>
      <w:r>
        <w:rPr>
          <w:spacing w:val="-9"/>
        </w:rPr>
        <w:t> </w:t>
      </w:r>
      <w:r>
        <w:rPr/>
        <w:t>art.</w:t>
      </w:r>
      <w:r>
        <w:rPr>
          <w:spacing w:val="-9"/>
        </w:rPr>
        <w:t> </w:t>
      </w:r>
      <w:r>
        <w:rPr/>
        <w:t>102</w:t>
      </w:r>
      <w:r>
        <w:rPr>
          <w:spacing w:val="-9"/>
        </w:rPr>
        <w:t> </w:t>
      </w:r>
      <w:r>
        <w:rPr/>
        <w:t>ust.</w:t>
      </w:r>
      <w:r>
        <w:rPr>
          <w:spacing w:val="-9"/>
        </w:rPr>
        <w:t> </w:t>
      </w:r>
      <w:r>
        <w:rPr/>
        <w:t>5</w:t>
      </w:r>
      <w:r>
        <w:rPr>
          <w:spacing w:val="-9"/>
        </w:rPr>
        <w:t> </w:t>
      </w:r>
      <w:r>
        <w:rPr/>
        <w:t>pkt</w:t>
      </w:r>
      <w:r>
        <w:rPr>
          <w:spacing w:val="-9"/>
        </w:rPr>
        <w:t> </w:t>
      </w:r>
      <w:r>
        <w:rPr/>
        <w:t>21</w:t>
      </w:r>
      <w:r>
        <w:rPr>
          <w:spacing w:val="-9"/>
        </w:rPr>
        <w:t> </w:t>
      </w:r>
      <w:r>
        <w:rPr/>
        <w:t>i</w:t>
      </w:r>
      <w:r>
        <w:rPr>
          <w:spacing w:val="-9"/>
        </w:rPr>
        <w:t> </w:t>
      </w:r>
      <w:r>
        <w:rPr/>
        <w:t>25,</w:t>
      </w:r>
      <w:r>
        <w:rPr>
          <w:spacing w:val="-9"/>
        </w:rPr>
        <w:t> </w:t>
      </w:r>
      <w:r>
        <w:rPr/>
        <w:t>art.</w:t>
      </w:r>
      <w:r>
        <w:rPr>
          <w:spacing w:val="-9"/>
        </w:rPr>
        <w:t> </w:t>
      </w:r>
      <w:r>
        <w:rPr/>
        <w:t>146</w:t>
      </w:r>
      <w:r>
        <w:rPr>
          <w:spacing w:val="-9"/>
        </w:rPr>
        <w:t> </w:t>
      </w:r>
      <w:r>
        <w:rPr/>
        <w:t>ust.</w:t>
      </w:r>
      <w:r>
        <w:rPr>
          <w:spacing w:val="-9"/>
        </w:rPr>
        <w:t> </w:t>
      </w:r>
      <w:r>
        <w:rPr/>
        <w:t>1</w:t>
      </w:r>
      <w:r>
        <w:rPr>
          <w:spacing w:val="-9"/>
        </w:rPr>
        <w:t> </w:t>
      </w:r>
      <w:r>
        <w:rPr/>
        <w:t>ustawy</w:t>
      </w:r>
      <w:r>
        <w:rPr>
          <w:spacing w:val="-10"/>
        </w:rPr>
        <w:t> </w:t>
      </w: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9"/>
        </w:rPr>
        <w:t> </w:t>
      </w:r>
      <w:r>
        <w:rPr/>
        <w:t>27</w:t>
      </w:r>
      <w:r>
        <w:rPr>
          <w:spacing w:val="-9"/>
        </w:rPr>
        <w:t> </w:t>
      </w:r>
      <w:r>
        <w:rPr/>
        <w:t>sierpnia 2004 r. o świadczeniach opieki zdrowotnej finansowanych ze środków publicznych (Dz. U. z 2020 r. poz. 1398, z późn. zm.</w:t>
      </w:r>
      <w:r>
        <w:rPr>
          <w:position w:val="7"/>
          <w:sz w:val="16"/>
        </w:rPr>
        <w:t>1)</w:t>
      </w:r>
      <w:r>
        <w:rPr/>
        <w:t>) zarządza się, co</w:t>
      </w:r>
      <w:r>
        <w:rPr>
          <w:spacing w:val="-11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230" w:right="231" w:firstLine="567"/>
        <w:jc w:val="both"/>
      </w:pPr>
      <w:r>
        <w:rPr>
          <w:b/>
        </w:rPr>
        <w:t>§</w:t>
      </w:r>
      <w:r>
        <w:rPr>
          <w:b/>
          <w:spacing w:val="-7"/>
        </w:rPr>
        <w:t> </w:t>
      </w:r>
      <w:r>
        <w:rPr>
          <w:b/>
        </w:rPr>
        <w:t>1.</w:t>
      </w:r>
      <w:r>
        <w:rPr>
          <w:b/>
          <w:spacing w:val="-6"/>
        </w:rPr>
        <w:t> </w:t>
      </w:r>
      <w:r>
        <w:rPr/>
        <w:t>W</w:t>
      </w:r>
      <w:r>
        <w:rPr>
          <w:spacing w:val="-6"/>
        </w:rPr>
        <w:t> </w:t>
      </w:r>
      <w:r>
        <w:rPr/>
        <w:t>zarządzeniu</w:t>
      </w:r>
      <w:r>
        <w:rPr>
          <w:spacing w:val="-7"/>
        </w:rPr>
        <w:t> </w:t>
      </w:r>
      <w:r>
        <w:rPr/>
        <w:t>Nr</w:t>
      </w:r>
      <w:r>
        <w:rPr>
          <w:spacing w:val="-6"/>
        </w:rPr>
        <w:t> </w:t>
      </w:r>
      <w:r>
        <w:rPr/>
        <w:t>180/2019/DGL</w:t>
      </w:r>
      <w:r>
        <w:rPr>
          <w:spacing w:val="-5"/>
        </w:rPr>
        <w:t> </w:t>
      </w:r>
      <w:r>
        <w:rPr/>
        <w:t>Prezesa</w:t>
      </w:r>
      <w:r>
        <w:rPr>
          <w:spacing w:val="-5"/>
        </w:rPr>
        <w:t> </w:t>
      </w:r>
      <w:r>
        <w:rPr/>
        <w:t>Narodowego</w:t>
      </w:r>
      <w:r>
        <w:rPr>
          <w:spacing w:val="-5"/>
        </w:rPr>
        <w:t> </w:t>
      </w:r>
      <w:r>
        <w:rPr/>
        <w:t>Funduszu</w:t>
      </w:r>
      <w:r>
        <w:rPr>
          <w:spacing w:val="-4"/>
        </w:rPr>
        <w:t> </w:t>
      </w:r>
      <w:r>
        <w:rPr/>
        <w:t>Zdrowia z</w:t>
      </w:r>
      <w:r>
        <w:rPr>
          <w:spacing w:val="-17"/>
        </w:rPr>
        <w:t> </w:t>
      </w:r>
      <w:r>
        <w:rPr/>
        <w:t>dnia</w:t>
      </w:r>
      <w:r>
        <w:rPr>
          <w:spacing w:val="-16"/>
        </w:rPr>
        <w:t> </w:t>
      </w:r>
      <w:r>
        <w:rPr/>
        <w:t>31</w:t>
      </w:r>
      <w:r>
        <w:rPr>
          <w:spacing w:val="-17"/>
        </w:rPr>
        <w:t> </w:t>
      </w:r>
      <w:r>
        <w:rPr/>
        <w:t>grudnia</w:t>
      </w:r>
      <w:r>
        <w:rPr>
          <w:spacing w:val="-16"/>
        </w:rPr>
        <w:t> </w:t>
      </w:r>
      <w:r>
        <w:rPr/>
        <w:t>2019</w:t>
      </w:r>
      <w:r>
        <w:rPr>
          <w:spacing w:val="-16"/>
        </w:rPr>
        <w:t> </w:t>
      </w:r>
      <w:r>
        <w:rPr/>
        <w:t>r.</w:t>
      </w:r>
      <w:r>
        <w:rPr>
          <w:spacing w:val="-17"/>
        </w:rPr>
        <w:t> </w:t>
      </w:r>
      <w:r>
        <w:rPr/>
        <w:t>w</w:t>
      </w:r>
      <w:r>
        <w:rPr>
          <w:spacing w:val="-16"/>
        </w:rPr>
        <w:t> </w:t>
      </w:r>
      <w:r>
        <w:rPr/>
        <w:t>sprawie</w:t>
      </w:r>
      <w:r>
        <w:rPr>
          <w:spacing w:val="-16"/>
        </w:rPr>
        <w:t> </w:t>
      </w:r>
      <w:r>
        <w:rPr/>
        <w:t>określenia</w:t>
      </w:r>
      <w:r>
        <w:rPr>
          <w:spacing w:val="-17"/>
        </w:rPr>
        <w:t> </w:t>
      </w:r>
      <w:r>
        <w:rPr/>
        <w:t>warunków</w:t>
      </w:r>
      <w:r>
        <w:rPr>
          <w:spacing w:val="-16"/>
        </w:rPr>
        <w:t> </w:t>
      </w:r>
      <w:r>
        <w:rPr/>
        <w:t>zawierania</w:t>
      </w:r>
      <w:r>
        <w:rPr>
          <w:spacing w:val="-16"/>
        </w:rPr>
        <w:t> </w:t>
      </w:r>
      <w:r>
        <w:rPr/>
        <w:t>i</w:t>
      </w:r>
      <w:r>
        <w:rPr>
          <w:spacing w:val="-3"/>
        </w:rPr>
        <w:t> </w:t>
      </w:r>
      <w:r>
        <w:rPr/>
        <w:t>realizacji</w:t>
      </w:r>
      <w:r>
        <w:rPr>
          <w:spacing w:val="-17"/>
        </w:rPr>
        <w:t> </w:t>
      </w:r>
      <w:r>
        <w:rPr/>
        <w:t>umów w</w:t>
      </w:r>
      <w:r>
        <w:rPr>
          <w:spacing w:val="-11"/>
        </w:rPr>
        <w:t> </w:t>
      </w:r>
      <w:r>
        <w:rPr/>
        <w:t>rodzaju</w:t>
      </w:r>
      <w:r>
        <w:rPr>
          <w:spacing w:val="-11"/>
        </w:rPr>
        <w:t> </w:t>
      </w:r>
      <w:r>
        <w:rPr/>
        <w:t>leczenie</w:t>
      </w:r>
      <w:r>
        <w:rPr>
          <w:spacing w:val="-10"/>
        </w:rPr>
        <w:t> </w:t>
      </w:r>
      <w:r>
        <w:rPr/>
        <w:t>szpitalne</w:t>
      </w:r>
      <w:r>
        <w:rPr>
          <w:spacing w:val="-11"/>
        </w:rPr>
        <w:t> </w:t>
      </w:r>
      <w:r>
        <w:rPr/>
        <w:t>w</w:t>
      </w:r>
      <w:r>
        <w:rPr>
          <w:spacing w:val="-11"/>
        </w:rPr>
        <w:t> </w:t>
      </w:r>
      <w:r>
        <w:rPr/>
        <w:t>zakresie</w:t>
      </w:r>
      <w:r>
        <w:rPr>
          <w:spacing w:val="-11"/>
        </w:rPr>
        <w:t> </w:t>
      </w:r>
      <w:r>
        <w:rPr/>
        <w:t>chemioterapia,</w:t>
      </w:r>
      <w:r>
        <w:rPr>
          <w:spacing w:val="-11"/>
        </w:rPr>
        <w:t> </w:t>
      </w:r>
      <w:r>
        <w:rPr/>
        <w:t>zmienionym</w:t>
      </w:r>
      <w:r>
        <w:rPr>
          <w:spacing w:val="-11"/>
        </w:rPr>
        <w:t> </w:t>
      </w:r>
      <w:r>
        <w:rPr/>
        <w:t>zarządzeniem</w:t>
      </w:r>
      <w:r>
        <w:rPr>
          <w:spacing w:val="-11"/>
        </w:rPr>
        <w:t> </w:t>
      </w:r>
      <w:r>
        <w:rPr/>
        <w:t>Nr 24/2020/DGL Prezesa Narodowego Funduszu Zdrowia z dnia 28 lutego 2020 r., zarządzeniem Nr 56/2020/DGL Prezesa Narodowego Funduszu Zdrowia z dnia 10 kwietnia 2020 r., zarządzeniem Nr 116/2020/DGL Prezesa Narodowego Funduszu Zdrowia z dnia 29 lipca 2020 r., zarządzeniem Nr 142/2020/DGL Prezesa Narodowego Funduszu Zdrowia z dnia 17 września 2020 r. oraz zarządzeniem      Nr 206/2020/DGL Prezesa Narodowego Funduszu Zdrowia z dnia 28 grudnia 2020 r., wprowadza się następujące</w:t>
      </w:r>
      <w:r>
        <w:rPr>
          <w:spacing w:val="-2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1159" w:val="left" w:leader="none"/>
        </w:tabs>
        <w:spacing w:line="240" w:lineRule="auto" w:before="0" w:after="0"/>
        <w:ind w:left="1159" w:right="0" w:hanging="360"/>
        <w:jc w:val="both"/>
        <w:rPr>
          <w:sz w:val="24"/>
        </w:rPr>
      </w:pPr>
      <w:r>
        <w:rPr>
          <w:sz w:val="24"/>
        </w:rPr>
        <w:t>w § 13 dodaje się ust. 3 i 4 w</w:t>
      </w:r>
      <w:r>
        <w:rPr>
          <w:spacing w:val="-5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8"/>
        <w:ind w:left="115" w:right="116" w:firstLine="567"/>
        <w:jc w:val="both"/>
      </w:pPr>
      <w:r>
        <w:rPr/>
        <w:t>„3. Przepisu ust. 2 nie stosuje się w przypadku leczenia pacjentów w ramach programu lekowego - Leczenie zaawansowanego raka jelita grubego, w sytuacji jedoczesnego stosowania:</w:t>
      </w:r>
    </w:p>
    <w:p>
      <w:pPr>
        <w:pStyle w:val="ListParagraph"/>
        <w:numPr>
          <w:ilvl w:val="1"/>
          <w:numId w:val="1"/>
        </w:numPr>
        <w:tabs>
          <w:tab w:pos="1403" w:val="left" w:leader="none"/>
        </w:tabs>
        <w:spacing w:line="360" w:lineRule="auto" w:before="0" w:after="0"/>
        <w:ind w:left="1402" w:right="116" w:hanging="360"/>
        <w:jc w:val="both"/>
        <w:rPr>
          <w:sz w:val="24"/>
        </w:rPr>
      </w:pPr>
      <w:r>
        <w:rPr>
          <w:sz w:val="24"/>
        </w:rPr>
        <w:t>leków z katalogu leków refundowanych stosowanych w programach lekowych, stanowiących załącznik nr 1m do zarządzenia w sprawie określenia warunków zawierania i realizacji umów w rodzaju leczenie szpitalne w zakresie programy lekowe</w:t>
      </w:r>
      <w:r>
        <w:rPr>
          <w:i/>
          <w:sz w:val="24"/>
        </w:rPr>
        <w:t>, </w:t>
      </w:r>
      <w:r>
        <w:rPr>
          <w:sz w:val="24"/>
        </w:rPr>
        <w:t>posiadających kategorię dostępności refundacyjnej w ramach programu lekowego - Leczenie zaawansowanego raka jelita grubego;</w:t>
      </w:r>
      <w:r>
        <w:rPr>
          <w:spacing w:val="-2"/>
          <w:sz w:val="24"/>
        </w:rPr>
        <w:t> </w:t>
      </w:r>
      <w:r>
        <w:rPr>
          <w:sz w:val="24"/>
        </w:rPr>
        <w:t>oraz</w:t>
      </w:r>
    </w:p>
    <w:p>
      <w:pPr>
        <w:pStyle w:val="BodyText"/>
        <w:spacing w:before="2"/>
        <w:rPr>
          <w:sz w:val="23"/>
        </w:rPr>
      </w:pPr>
      <w:r>
        <w:rPr/>
        <w:pict>
          <v:shape style="position:absolute;margin-left:63.799999pt;margin-top:15.805429pt;width:143.5pt;height:.1pt;mso-position-horizontal-relative:page;mso-position-vertical-relative:paragraph;z-index:-15728640;mso-wrap-distance-left:0;mso-wrap-distance-right:0" coordorigin="1276,316" coordsize="2870,0" path="m1276,316l4146,316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57"/>
        <w:ind w:left="115" w:right="0" w:firstLine="0"/>
        <w:jc w:val="left"/>
        <w:rPr>
          <w:sz w:val="20"/>
        </w:rPr>
      </w:pPr>
      <w:r>
        <w:rPr>
          <w:position w:val="6"/>
          <w:sz w:val="13"/>
        </w:rPr>
        <w:t>1) </w:t>
      </w:r>
      <w:r>
        <w:rPr>
          <w:sz w:val="20"/>
        </w:rPr>
        <w:t>Zmiany tekstu jednolitego wymienionej ustawy zostały ogłoszone w Dz. U. z 2020 r. poz. 1492, 1493, 1578</w:t>
      </w:r>
      <w:r>
        <w:rPr>
          <w:b/>
          <w:sz w:val="20"/>
        </w:rPr>
        <w:t>, </w:t>
      </w:r>
      <w:r>
        <w:rPr>
          <w:sz w:val="20"/>
        </w:rPr>
        <w:t>1875, 2112 i 2345 oraz z 2021 r. poz. 97 i 159.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ListParagraph"/>
        <w:numPr>
          <w:ilvl w:val="1"/>
          <w:numId w:val="1"/>
        </w:numPr>
        <w:tabs>
          <w:tab w:pos="1397" w:val="left" w:leader="none"/>
        </w:tabs>
        <w:spacing w:line="360" w:lineRule="auto" w:before="76" w:after="0"/>
        <w:ind w:left="1397" w:right="116" w:hanging="357"/>
        <w:jc w:val="both"/>
        <w:rPr>
          <w:sz w:val="24"/>
        </w:rPr>
      </w:pPr>
      <w:r>
        <w:rPr>
          <w:sz w:val="24"/>
        </w:rPr>
        <w:t>substancji czynnej z katalogu leków o kodzie 5.08.10.0000028 – Fluorouracilum.</w:t>
      </w:r>
    </w:p>
    <w:p>
      <w:pPr>
        <w:pStyle w:val="ListParagraph"/>
        <w:numPr>
          <w:ilvl w:val="0"/>
          <w:numId w:val="2"/>
        </w:numPr>
        <w:tabs>
          <w:tab w:pos="1081" w:val="left" w:leader="none"/>
        </w:tabs>
        <w:spacing w:line="360" w:lineRule="auto" w:before="0" w:after="0"/>
        <w:ind w:left="116" w:right="116" w:firstLine="683"/>
        <w:jc w:val="both"/>
        <w:rPr>
          <w:sz w:val="24"/>
        </w:rPr>
      </w:pPr>
      <w:r>
        <w:rPr>
          <w:sz w:val="24"/>
        </w:rPr>
        <w:t>W przypadku, o którym mowa w ust. 3, dopuszcza się możliwość rozliczenia jako  świadczenia  podstawowego  produktu  z  katalogu  świadczeń  podstawowych   o kodzie 5.08.05.0000177 - hospitalizacja jednego dnia z zastosowaniem jednorazowych pomp elastomerowych do terapii</w:t>
      </w:r>
      <w:r>
        <w:rPr>
          <w:spacing w:val="-5"/>
          <w:sz w:val="24"/>
        </w:rPr>
        <w:t> </w:t>
      </w:r>
      <w:r>
        <w:rPr>
          <w:sz w:val="24"/>
        </w:rPr>
        <w:t>infuzyjnej.”;</w:t>
      </w:r>
    </w:p>
    <w:p>
      <w:pPr>
        <w:pStyle w:val="BodyText"/>
        <w:ind w:left="799"/>
        <w:jc w:val="both"/>
      </w:pPr>
      <w:r>
        <w:rPr/>
        <w:t>2) w § 17a:</w:t>
      </w:r>
    </w:p>
    <w:p>
      <w:pPr>
        <w:pStyle w:val="ListParagraph"/>
        <w:numPr>
          <w:ilvl w:val="1"/>
          <w:numId w:val="2"/>
        </w:numPr>
        <w:tabs>
          <w:tab w:pos="1440" w:val="left" w:leader="none"/>
        </w:tabs>
        <w:spacing w:line="240" w:lineRule="auto" w:before="138" w:after="0"/>
        <w:ind w:left="1439" w:right="0" w:hanging="281"/>
        <w:jc w:val="both"/>
        <w:rPr>
          <w:sz w:val="24"/>
        </w:rPr>
      </w:pPr>
      <w:r>
        <w:rPr>
          <w:sz w:val="24"/>
        </w:rPr>
        <w:t>ust. 5 otrzymuje</w:t>
      </w:r>
      <w:r>
        <w:rPr>
          <w:spacing w:val="-1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799" w:right="116"/>
        <w:jc w:val="both"/>
      </w:pPr>
      <w:r>
        <w:rPr/>
        <w:t>„5. Postępowanie, o którym mowa w ust. 1, przeprowadzane jest przez zamawiającego upoważnionego na podstawie art.  38  ust.  1  ustawy  z  dnia 11 września 2019 r. - Prawo zamówień publicznych (Dz. U. z 2019 r. poz. 2019 oraz z 2020 r. poz. 288, 1492, 1517, 2275 i</w:t>
      </w:r>
      <w:r>
        <w:rPr>
          <w:spacing w:val="-6"/>
        </w:rPr>
        <w:t> </w:t>
      </w:r>
      <w:r>
        <w:rPr/>
        <w:t>2320).”,</w:t>
      </w:r>
    </w:p>
    <w:p>
      <w:pPr>
        <w:pStyle w:val="ListParagraph"/>
        <w:numPr>
          <w:ilvl w:val="1"/>
          <w:numId w:val="2"/>
        </w:numPr>
        <w:tabs>
          <w:tab w:pos="1413" w:val="left" w:leader="none"/>
        </w:tabs>
        <w:spacing w:line="240" w:lineRule="auto" w:before="0" w:after="0"/>
        <w:ind w:left="1412" w:right="0" w:hanging="282"/>
        <w:jc w:val="both"/>
        <w:rPr>
          <w:sz w:val="24"/>
        </w:rPr>
      </w:pPr>
      <w:r>
        <w:rPr>
          <w:sz w:val="24"/>
        </w:rPr>
        <w:t>ust. 8 otrzymuje</w:t>
      </w:r>
      <w:r>
        <w:rPr>
          <w:spacing w:val="-1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799" w:right="116"/>
        <w:jc w:val="both"/>
      </w:pPr>
      <w:r>
        <w:rPr/>
        <w:t>„8. Udzielanie świadczeń z wykorzystaniem leku nabytego w ramach wspólnego postępowania o udzielenie zamówienia publicznego rozpoczyna się nie później niż od pierwszego dnia miesiąca następującego po upływie dwóch miesięcy od dnia zawarcia umowy z wykonawcą wybranym w wyniku przeprowadzenia wspólnego postępowania o udzielenie zamówienia publicznego.”;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</w:tabs>
        <w:spacing w:line="240" w:lineRule="auto" w:before="0" w:after="0"/>
        <w:ind w:left="1159" w:right="0" w:hanging="362"/>
        <w:jc w:val="both"/>
        <w:rPr>
          <w:sz w:val="24"/>
        </w:rPr>
      </w:pPr>
      <w:r>
        <w:rPr>
          <w:sz w:val="24"/>
        </w:rPr>
        <w:t>załącznik nr 1e do zarządzenia otrzymuje brzmienie określone w</w:t>
      </w:r>
      <w:r>
        <w:rPr>
          <w:spacing w:val="25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158"/>
        <w:jc w:val="both"/>
      </w:pPr>
      <w:r>
        <w:rPr/>
        <w:t>nr 1 do niniejszego zarządzenia;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</w:tabs>
        <w:spacing w:line="240" w:lineRule="auto" w:before="138" w:after="0"/>
        <w:ind w:left="1159" w:right="0" w:hanging="362"/>
        <w:jc w:val="both"/>
        <w:rPr>
          <w:sz w:val="24"/>
        </w:rPr>
      </w:pPr>
      <w:r>
        <w:rPr>
          <w:sz w:val="24"/>
        </w:rPr>
        <w:t>załącznik nr 1n do zarządzenia otrzymuje brzmienie określone w</w:t>
      </w:r>
      <w:r>
        <w:rPr>
          <w:spacing w:val="25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158"/>
        <w:jc w:val="both"/>
      </w:pPr>
      <w:r>
        <w:rPr/>
        <w:t>nr 2 do niniejszego zarządzenia;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</w:tabs>
        <w:spacing w:line="240" w:lineRule="auto" w:before="138" w:after="0"/>
        <w:ind w:left="1159" w:right="0" w:hanging="362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20"/>
          <w:sz w:val="24"/>
        </w:rPr>
        <w:t> </w:t>
      </w:r>
      <w:r>
        <w:rPr>
          <w:sz w:val="24"/>
        </w:rPr>
        <w:t>nr</w:t>
      </w:r>
      <w:r>
        <w:rPr>
          <w:spacing w:val="20"/>
          <w:sz w:val="24"/>
        </w:rPr>
        <w:t> </w:t>
      </w:r>
      <w:r>
        <w:rPr>
          <w:sz w:val="24"/>
        </w:rPr>
        <w:t>1t</w:t>
      </w:r>
      <w:r>
        <w:rPr>
          <w:spacing w:val="22"/>
          <w:sz w:val="24"/>
        </w:rPr>
        <w:t> </w:t>
      </w:r>
      <w:r>
        <w:rPr>
          <w:sz w:val="24"/>
        </w:rPr>
        <w:t>do</w:t>
      </w:r>
      <w:r>
        <w:rPr>
          <w:spacing w:val="20"/>
          <w:sz w:val="24"/>
        </w:rPr>
        <w:t> </w:t>
      </w:r>
      <w:r>
        <w:rPr>
          <w:sz w:val="24"/>
        </w:rPr>
        <w:t>zarządzenia</w:t>
      </w:r>
      <w:r>
        <w:rPr>
          <w:spacing w:val="20"/>
          <w:sz w:val="24"/>
        </w:rPr>
        <w:t> </w:t>
      </w:r>
      <w:r>
        <w:rPr>
          <w:sz w:val="24"/>
        </w:rPr>
        <w:t>otrzymuje</w:t>
      </w:r>
      <w:r>
        <w:rPr>
          <w:spacing w:val="22"/>
          <w:sz w:val="24"/>
        </w:rPr>
        <w:t> </w:t>
      </w:r>
      <w:r>
        <w:rPr>
          <w:sz w:val="24"/>
        </w:rPr>
        <w:t>brzmienie</w:t>
      </w:r>
      <w:r>
        <w:rPr>
          <w:spacing w:val="20"/>
          <w:sz w:val="24"/>
        </w:rPr>
        <w:t> </w:t>
      </w:r>
      <w:r>
        <w:rPr>
          <w:sz w:val="24"/>
        </w:rPr>
        <w:t>określone</w:t>
      </w:r>
      <w:r>
        <w:rPr>
          <w:spacing w:val="21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7"/>
        <w:ind w:left="1158"/>
        <w:jc w:val="both"/>
      </w:pPr>
      <w:r>
        <w:rPr/>
        <w:t>nr 3 do niniejszego zarządzenia;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</w:tabs>
        <w:spacing w:line="240" w:lineRule="auto" w:before="138" w:after="0"/>
        <w:ind w:left="1159" w:right="0" w:hanging="362"/>
        <w:jc w:val="both"/>
        <w:rPr>
          <w:sz w:val="24"/>
        </w:rPr>
      </w:pPr>
      <w:r>
        <w:rPr>
          <w:sz w:val="24"/>
        </w:rPr>
        <w:t>załącznik nr 7 do</w:t>
      </w:r>
      <w:r>
        <w:rPr>
          <w:spacing w:val="38"/>
          <w:sz w:val="24"/>
        </w:rPr>
        <w:t> </w:t>
      </w:r>
      <w:r>
        <w:rPr>
          <w:sz w:val="24"/>
        </w:rPr>
        <w:t>zarządzenia:</w:t>
      </w:r>
    </w:p>
    <w:p>
      <w:pPr>
        <w:pStyle w:val="ListParagraph"/>
        <w:numPr>
          <w:ilvl w:val="2"/>
          <w:numId w:val="1"/>
        </w:numPr>
        <w:tabs>
          <w:tab w:pos="1675" w:val="left" w:leader="none"/>
          <w:tab w:pos="1676" w:val="left" w:leader="none"/>
        </w:tabs>
        <w:spacing w:line="240" w:lineRule="auto" w:before="138" w:after="0"/>
        <w:ind w:left="1675" w:right="0" w:hanging="426"/>
        <w:jc w:val="left"/>
        <w:rPr>
          <w:sz w:val="24"/>
        </w:rPr>
      </w:pPr>
      <w:r>
        <w:rPr>
          <w:sz w:val="24"/>
        </w:rPr>
        <w:t>otrzymuje brzmienie określone w załączniku nr 4 do</w:t>
      </w:r>
      <w:r>
        <w:rPr>
          <w:spacing w:val="61"/>
          <w:sz w:val="24"/>
        </w:rPr>
        <w:t> </w:t>
      </w:r>
      <w:r>
        <w:rPr>
          <w:sz w:val="24"/>
        </w:rPr>
        <w:t>niniejszego</w:t>
      </w:r>
    </w:p>
    <w:p>
      <w:pPr>
        <w:pStyle w:val="BodyText"/>
        <w:spacing w:before="138"/>
        <w:ind w:left="1610"/>
      </w:pPr>
      <w:r>
        <w:rPr/>
        <w:t>zarządzenia,</w:t>
      </w:r>
    </w:p>
    <w:p>
      <w:pPr>
        <w:pStyle w:val="ListParagraph"/>
        <w:numPr>
          <w:ilvl w:val="2"/>
          <w:numId w:val="1"/>
        </w:numPr>
        <w:tabs>
          <w:tab w:pos="1611" w:val="left" w:leader="none"/>
        </w:tabs>
        <w:spacing w:line="360" w:lineRule="auto" w:before="138" w:after="0"/>
        <w:ind w:left="1610" w:right="115" w:hanging="360"/>
        <w:jc w:val="left"/>
        <w:rPr>
          <w:sz w:val="24"/>
        </w:rPr>
      </w:pPr>
      <w:r>
        <w:rPr>
          <w:sz w:val="24"/>
        </w:rPr>
        <w:t>z</w:t>
      </w:r>
      <w:r>
        <w:rPr>
          <w:spacing w:val="-10"/>
          <w:sz w:val="24"/>
        </w:rPr>
        <w:t> </w:t>
      </w:r>
      <w:r>
        <w:rPr>
          <w:sz w:val="24"/>
        </w:rPr>
        <w:t>dniem</w:t>
      </w:r>
      <w:r>
        <w:rPr>
          <w:spacing w:val="-10"/>
          <w:sz w:val="24"/>
        </w:rPr>
        <w:t> </w:t>
      </w:r>
      <w:r>
        <w:rPr>
          <w:sz w:val="24"/>
        </w:rPr>
        <w:t>1</w:t>
      </w:r>
      <w:r>
        <w:rPr>
          <w:spacing w:val="-10"/>
          <w:sz w:val="24"/>
        </w:rPr>
        <w:t> </w:t>
      </w:r>
      <w:r>
        <w:rPr>
          <w:sz w:val="24"/>
        </w:rPr>
        <w:t>marca</w:t>
      </w:r>
      <w:r>
        <w:rPr>
          <w:spacing w:val="-10"/>
          <w:sz w:val="24"/>
        </w:rPr>
        <w:t> </w:t>
      </w:r>
      <w:r>
        <w:rPr>
          <w:sz w:val="24"/>
        </w:rPr>
        <w:t>2021</w:t>
      </w:r>
      <w:r>
        <w:rPr>
          <w:spacing w:val="-10"/>
          <w:sz w:val="24"/>
        </w:rPr>
        <w:t> </w:t>
      </w:r>
      <w:r>
        <w:rPr>
          <w:sz w:val="24"/>
        </w:rPr>
        <w:t>r.</w:t>
      </w:r>
      <w:r>
        <w:rPr>
          <w:spacing w:val="-10"/>
          <w:sz w:val="24"/>
        </w:rPr>
        <w:t> </w:t>
      </w:r>
      <w:r>
        <w:rPr>
          <w:sz w:val="24"/>
        </w:rPr>
        <w:t>otrzymuje</w:t>
      </w:r>
      <w:r>
        <w:rPr>
          <w:spacing w:val="-14"/>
          <w:sz w:val="24"/>
        </w:rPr>
        <w:t> </w:t>
      </w:r>
      <w:r>
        <w:rPr>
          <w:sz w:val="24"/>
        </w:rPr>
        <w:t>brzmienie</w:t>
      </w:r>
      <w:r>
        <w:rPr>
          <w:spacing w:val="-13"/>
          <w:sz w:val="24"/>
        </w:rPr>
        <w:t> </w:t>
      </w:r>
      <w:r>
        <w:rPr>
          <w:sz w:val="24"/>
        </w:rPr>
        <w:t>określone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załączniku</w:t>
      </w:r>
      <w:r>
        <w:rPr>
          <w:spacing w:val="-10"/>
          <w:sz w:val="24"/>
        </w:rPr>
        <w:t> </w:t>
      </w:r>
      <w:r>
        <w:rPr>
          <w:sz w:val="24"/>
        </w:rPr>
        <w:t>nr</w:t>
      </w:r>
      <w:r>
        <w:rPr>
          <w:spacing w:val="-10"/>
          <w:sz w:val="24"/>
        </w:rPr>
        <w:t> </w:t>
      </w:r>
      <w:r>
        <w:rPr>
          <w:sz w:val="24"/>
        </w:rPr>
        <w:t>5 do niniejszego</w:t>
      </w:r>
      <w:r>
        <w:rPr>
          <w:spacing w:val="-1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</w:tabs>
        <w:spacing w:line="240" w:lineRule="auto" w:before="0" w:after="0"/>
        <w:ind w:left="1159" w:right="0" w:hanging="362"/>
        <w:jc w:val="left"/>
        <w:rPr>
          <w:sz w:val="24"/>
        </w:rPr>
      </w:pPr>
      <w:r>
        <w:rPr>
          <w:sz w:val="24"/>
        </w:rPr>
        <w:t>załącznik</w:t>
      </w:r>
      <w:r>
        <w:rPr>
          <w:spacing w:val="28"/>
          <w:sz w:val="24"/>
        </w:rPr>
        <w:t> </w:t>
      </w:r>
      <w:r>
        <w:rPr>
          <w:sz w:val="24"/>
        </w:rPr>
        <w:t>nr</w:t>
      </w:r>
      <w:r>
        <w:rPr>
          <w:spacing w:val="28"/>
          <w:sz w:val="24"/>
        </w:rPr>
        <w:t> </w:t>
      </w:r>
      <w:r>
        <w:rPr>
          <w:sz w:val="24"/>
        </w:rPr>
        <w:t>9</w:t>
      </w:r>
      <w:r>
        <w:rPr>
          <w:spacing w:val="30"/>
          <w:sz w:val="24"/>
        </w:rPr>
        <w:t> </w:t>
      </w:r>
      <w:r>
        <w:rPr>
          <w:sz w:val="24"/>
        </w:rPr>
        <w:t>do</w:t>
      </w:r>
      <w:r>
        <w:rPr>
          <w:spacing w:val="28"/>
          <w:sz w:val="24"/>
        </w:rPr>
        <w:t> </w:t>
      </w:r>
      <w:r>
        <w:rPr>
          <w:sz w:val="24"/>
        </w:rPr>
        <w:t>zarządzenia</w:t>
      </w:r>
      <w:r>
        <w:rPr>
          <w:spacing w:val="29"/>
          <w:sz w:val="24"/>
        </w:rPr>
        <w:t> </w:t>
      </w:r>
      <w:r>
        <w:rPr>
          <w:sz w:val="24"/>
        </w:rPr>
        <w:t>otrzymuje</w:t>
      </w:r>
      <w:r>
        <w:rPr>
          <w:spacing w:val="29"/>
          <w:sz w:val="24"/>
        </w:rPr>
        <w:t> </w:t>
      </w:r>
      <w:r>
        <w:rPr>
          <w:sz w:val="24"/>
        </w:rPr>
        <w:t>brzmienie</w:t>
      </w:r>
      <w:r>
        <w:rPr>
          <w:spacing w:val="29"/>
          <w:sz w:val="24"/>
        </w:rPr>
        <w:t> </w:t>
      </w:r>
      <w:r>
        <w:rPr>
          <w:sz w:val="24"/>
        </w:rPr>
        <w:t>określone</w:t>
      </w:r>
      <w:r>
        <w:rPr>
          <w:spacing w:val="28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158"/>
        <w:jc w:val="both"/>
      </w:pPr>
      <w:r>
        <w:rPr/>
        <w:t>nr 6 do niniejszego zarządzenia.</w:t>
      </w:r>
    </w:p>
    <w:p>
      <w:pPr>
        <w:pStyle w:val="BodyText"/>
        <w:spacing w:line="360" w:lineRule="auto" w:before="138"/>
        <w:ind w:left="115" w:right="232" w:firstLine="682"/>
        <w:jc w:val="both"/>
      </w:pPr>
      <w:r>
        <w:rPr>
          <w:b/>
        </w:rPr>
        <w:t>§ 2. </w:t>
      </w:r>
      <w:r>
        <w:rPr/>
        <w:t>Do postępowań w sprawie zawarcia umów o udzielanie świadczeń opieki zdrowotnej wszczętych i niezakończonych przed dniem wejścia w życie zarządzenia, stosuje się przepisy zarządzenia, o którym mowa w § 1, w brzmieniu obowiązującym przed dniem wejścia w życie niniejszego zarządzenia.</w:t>
      </w:r>
    </w:p>
    <w:p>
      <w:pPr>
        <w:spacing w:after="0" w:line="360" w:lineRule="auto"/>
        <w:jc w:val="both"/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230" w:right="232" w:firstLine="624"/>
        <w:jc w:val="both"/>
      </w:pPr>
      <w:r>
        <w:rPr>
          <w:b/>
        </w:rPr>
        <w:t>§ 3. </w:t>
      </w:r>
      <w:r>
        <w:rPr/>
        <w:t>1. Dyrektorzy oddziałów wojewódzkich Narodowego Funduszu Zdrowia obowiązani są do wprowadzenia do postanowień umów zawartych ze świadczeniodawcami zmian wynikających z wejścia w życie przepisów niniejszego zarządzenia.</w:t>
      </w:r>
    </w:p>
    <w:p>
      <w:pPr>
        <w:pStyle w:val="BodyText"/>
        <w:ind w:left="855"/>
        <w:jc w:val="both"/>
      </w:pPr>
      <w:r>
        <w:rPr/>
        <w:t>2. Przepis ust. 1 stosuje się również do umów zawartych ze</w:t>
      </w:r>
    </w:p>
    <w:p>
      <w:pPr>
        <w:pStyle w:val="BodyText"/>
        <w:spacing w:before="138"/>
        <w:ind w:left="230"/>
      </w:pPr>
      <w:r>
        <w:rPr/>
        <w:t>świadczeniodawcami po zakończeniu postepowań, o których mowa w § 2.</w:t>
      </w:r>
    </w:p>
    <w:p>
      <w:pPr>
        <w:pStyle w:val="BodyText"/>
        <w:spacing w:line="360" w:lineRule="auto" w:before="138"/>
        <w:ind w:left="115" w:right="281" w:firstLine="682"/>
      </w:pPr>
      <w:r>
        <w:rPr>
          <w:b/>
        </w:rPr>
        <w:t>§ 4. </w:t>
      </w:r>
      <w:r>
        <w:rPr/>
        <w:t>Zarządzenie stosuje się do świadczeń udzielanych od dnia 1 stycznia 2021 r.</w:t>
      </w:r>
    </w:p>
    <w:p>
      <w:pPr>
        <w:pStyle w:val="BodyText"/>
        <w:ind w:left="797"/>
      </w:pPr>
      <w:r>
        <w:rPr>
          <w:b/>
        </w:rPr>
        <w:t>§ 5. </w:t>
      </w:r>
      <w:r>
        <w:rPr/>
        <w:t>Zarządzenie wchodzi w życie z dniem następującym po dniu 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31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 NARODOWEGO FUNDUSZU ZDROWIA</w:t>
      </w:r>
    </w:p>
    <w:p>
      <w:pPr>
        <w:pStyle w:val="BodyText"/>
        <w:ind w:left="5169" w:right="204"/>
        <w:jc w:val="center"/>
      </w:pPr>
      <w:r>
        <w:rPr/>
        <w:t>Bernard Waśko</w:t>
      </w:r>
    </w:p>
    <w:p>
      <w:pPr>
        <w:pStyle w:val="BodyText"/>
        <w:spacing w:before="138"/>
        <w:ind w:left="5171" w:right="204"/>
        <w:jc w:val="center"/>
      </w:pPr>
      <w:r>
        <w:rPr/>
        <w:t>W zastępstwie p.o. PREZESA NFZ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5"/>
        </w:rPr>
      </w:pPr>
    </w:p>
    <w:p>
      <w:pPr>
        <w:spacing w:before="92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4"/>
      <w:numFmt w:val="decimal"/>
      <w:lvlText w:val="%1."/>
      <w:lvlJc w:val="left"/>
      <w:pPr>
        <w:ind w:left="116" w:hanging="282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39" w:hanging="28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328" w:hanging="28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217" w:hanging="28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106" w:hanging="28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995" w:hanging="28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84" w:hanging="28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73" w:hanging="28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62" w:hanging="281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159" w:hanging="360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403" w:hanging="360"/>
        <w:jc w:val="righ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75" w:hanging="425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650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620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590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560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530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00" w:hanging="425"/>
      </w:pPr>
      <w:rPr>
        <w:rFonts w:hint="default"/>
        <w:lang w:val="pl-P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85" w:right="98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159" w:hanging="362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2021-02-10T17:51:28Z</dcterms:created>
  <dcterms:modified xsi:type="dcterms:W3CDTF">2021-02-10T17:51:28Z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2021-02-10T00:00:00Z</vt:filetime>
  </property>
</Properties>
</file>