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205/2021/DSOZ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17.12.2021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517" w:right="451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zdrowotne</w:t>
      </w:r>
      <w:r>
        <w:rPr>
          <w:spacing w:val="-2"/>
        </w:rPr>
        <w:t> </w:t>
      </w:r>
      <w:r>
        <w:rPr/>
        <w:t>kontraktowane</w:t>
      </w:r>
      <w:r>
        <w:rPr>
          <w:spacing w:val="-1"/>
        </w:rPr>
        <w:t> </w:t>
      </w:r>
      <w:r>
        <w:rPr/>
        <w:t>odrębnie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1285,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62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1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167/2019/DSOZ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29 listopada 2019 r. w sprawie określenia warunków zawierania i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zdrowotne</w:t>
      </w:r>
      <w:r>
        <w:rPr>
          <w:spacing w:val="1"/>
        </w:rPr>
        <w:t> </w:t>
      </w:r>
      <w:r>
        <w:rPr/>
        <w:t>kontraktowane</w:t>
      </w:r>
      <w:r>
        <w:rPr>
          <w:spacing w:val="1"/>
        </w:rPr>
        <w:t> </w:t>
      </w:r>
      <w:r>
        <w:rPr/>
        <w:t>odrębnie,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 Nr 173/2019/DSOZ Prezesa Narodowego Funduszu Zdrowia z dnia 14</w:t>
      </w:r>
      <w:r>
        <w:rPr>
          <w:spacing w:val="1"/>
        </w:rPr>
        <w:t> </w:t>
      </w:r>
      <w:r>
        <w:rPr/>
        <w:t>grudnia 2019 r., zarządzeniem Nr 213/2020/DSOZ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8/2021/DSOZ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 Funduszu Zdrowia z dnia 5 stycznia 2021 r. oraz zarządzeniem Nr</w:t>
      </w:r>
      <w:r>
        <w:rPr>
          <w:spacing w:val="1"/>
        </w:rPr>
        <w:t> </w:t>
      </w:r>
      <w:r>
        <w:rPr/>
        <w:t>92/2021/DSOZ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19</w:t>
      </w:r>
      <w:r>
        <w:rPr>
          <w:spacing w:val="1"/>
        </w:rPr>
        <w:t> </w:t>
      </w:r>
      <w:r>
        <w:rPr/>
        <w:t>maja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-64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 następujące 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14"/>
          <w:sz w:val="24"/>
        </w:rPr>
        <w:t> </w:t>
      </w:r>
      <w:r>
        <w:rPr>
          <w:sz w:val="24"/>
        </w:rPr>
        <w:t>nr</w:t>
      </w:r>
      <w:r>
        <w:rPr>
          <w:spacing w:val="15"/>
          <w:sz w:val="24"/>
        </w:rPr>
        <w:t> </w:t>
      </w:r>
      <w:r>
        <w:rPr>
          <w:sz w:val="24"/>
        </w:rPr>
        <w:t>2</w:t>
      </w:r>
      <w:r>
        <w:rPr>
          <w:spacing w:val="14"/>
          <w:sz w:val="24"/>
        </w:rPr>
        <w:t> </w:t>
      </w:r>
      <w:r>
        <w:rPr>
          <w:sz w:val="24"/>
        </w:rPr>
        <w:t>do</w:t>
      </w:r>
      <w:r>
        <w:rPr>
          <w:spacing w:val="15"/>
          <w:sz w:val="24"/>
        </w:rPr>
        <w:t> </w:t>
      </w:r>
      <w:r>
        <w:rPr>
          <w:sz w:val="24"/>
        </w:rPr>
        <w:t>zarządzenia</w:t>
      </w:r>
      <w:r>
        <w:rPr>
          <w:spacing w:val="14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6"/>
          <w:sz w:val="24"/>
        </w:rPr>
        <w:t> </w:t>
      </w:r>
      <w:r>
        <w:rPr>
          <w:sz w:val="24"/>
        </w:rPr>
        <w:t>określone</w:t>
      </w:r>
      <w:r>
        <w:rPr>
          <w:spacing w:val="15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4"/>
      </w:pP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35"/>
          <w:sz w:val="24"/>
        </w:rPr>
        <w:t> </w:t>
      </w:r>
      <w:r>
        <w:rPr>
          <w:sz w:val="24"/>
        </w:rPr>
        <w:t>nr</w:t>
      </w:r>
      <w:r>
        <w:rPr>
          <w:spacing w:val="100"/>
          <w:sz w:val="24"/>
        </w:rPr>
        <w:t> </w:t>
      </w:r>
      <w:r>
        <w:rPr>
          <w:sz w:val="24"/>
        </w:rPr>
        <w:t>2a</w:t>
      </w:r>
      <w:r>
        <w:rPr>
          <w:spacing w:val="100"/>
          <w:sz w:val="24"/>
        </w:rPr>
        <w:t> </w:t>
      </w:r>
      <w:r>
        <w:rPr>
          <w:sz w:val="24"/>
        </w:rPr>
        <w:t>–</w:t>
      </w:r>
      <w:r>
        <w:rPr>
          <w:spacing w:val="100"/>
          <w:sz w:val="24"/>
        </w:rPr>
        <w:t> </w:t>
      </w:r>
      <w:r>
        <w:rPr>
          <w:sz w:val="24"/>
        </w:rPr>
        <w:t>2d</w:t>
      </w:r>
      <w:r>
        <w:rPr>
          <w:spacing w:val="101"/>
          <w:sz w:val="24"/>
        </w:rPr>
        <w:t> </w:t>
      </w:r>
      <w:r>
        <w:rPr>
          <w:sz w:val="24"/>
        </w:rPr>
        <w:t>do</w:t>
      </w:r>
      <w:r>
        <w:rPr>
          <w:spacing w:val="100"/>
          <w:sz w:val="24"/>
        </w:rPr>
        <w:t> </w:t>
      </w:r>
      <w:r>
        <w:rPr>
          <w:sz w:val="24"/>
        </w:rPr>
        <w:t>zarządzenia</w:t>
      </w:r>
      <w:r>
        <w:rPr>
          <w:spacing w:val="100"/>
          <w:sz w:val="24"/>
        </w:rPr>
        <w:t> </w:t>
      </w:r>
      <w:r>
        <w:rPr>
          <w:sz w:val="24"/>
        </w:rPr>
        <w:t>otrzymują</w:t>
      </w:r>
      <w:r>
        <w:rPr>
          <w:spacing w:val="101"/>
          <w:sz w:val="24"/>
        </w:rPr>
        <w:t> </w:t>
      </w:r>
      <w:r>
        <w:rPr>
          <w:sz w:val="24"/>
        </w:rPr>
        <w:t>brzmienie</w:t>
      </w:r>
      <w:r>
        <w:rPr>
          <w:spacing w:val="100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184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5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before="138"/>
        <w:ind w:left="940"/>
      </w:pPr>
      <w:r>
        <w:rPr>
          <w:b/>
        </w:rPr>
        <w:t>§</w:t>
      </w:r>
      <w:r>
        <w:rPr>
          <w:b/>
          <w:spacing w:val="-9"/>
        </w:rPr>
        <w:t> </w:t>
      </w:r>
      <w:r>
        <w:rPr>
          <w:b/>
        </w:rPr>
        <w:t>2.</w:t>
      </w:r>
      <w:r>
        <w:rPr>
          <w:b/>
          <w:spacing w:val="-7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7"/>
        </w:rPr>
        <w:t> </w:t>
      </w:r>
      <w:r>
        <w:rPr/>
        <w:t>życie</w:t>
      </w:r>
      <w:r>
        <w:rPr>
          <w:spacing w:val="-7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5"/>
        </w:rPr>
        <w:t> </w:t>
      </w:r>
      <w:r>
        <w:rPr/>
        <w:t>następującym</w:t>
      </w:r>
      <w:r>
        <w:rPr>
          <w:spacing w:val="-7"/>
        </w:rPr>
        <w:t> </w:t>
      </w:r>
      <w:r>
        <w:rPr/>
        <w:t>po</w:t>
      </w:r>
      <w:r>
        <w:rPr>
          <w:spacing w:val="-10"/>
        </w:rPr>
        <w:t> </w:t>
      </w:r>
      <w:r>
        <w:rPr/>
        <w:t>dniu</w:t>
      </w:r>
      <w:r>
        <w:rPr>
          <w:spacing w:val="-7"/>
        </w:rPr>
        <w:t> </w:t>
      </w:r>
      <w:r>
        <w:rPr/>
        <w:t>podpisania.</w:t>
      </w:r>
    </w:p>
    <w:p>
      <w:pPr>
        <w:pStyle w:val="BodyText"/>
        <w:rPr>
          <w:sz w:val="3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2" w:right="292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2" w:right="292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7"/>
        <w:rPr>
          <w:rFonts w:ascii="Times New Roman"/>
          <w:i/>
          <w:sz w:val="17"/>
        </w:rPr>
      </w:pPr>
    </w:p>
    <w:p>
      <w:pPr>
        <w:spacing w:before="94"/>
        <w:ind w:left="115" w:right="0" w:firstLine="32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2120 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2021-12-17T16:04:22Z</dcterms:created>
  <dcterms:modified xsi:type="dcterms:W3CDTF">2021-12-17T16:04:22Z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2021-12-17T00:00:00Z</vt:filetime>
  </property>
</Properties>
</file>