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6" w:rsidRPr="00223FDD" w:rsidRDefault="0021462D" w:rsidP="00E27A26">
      <w:pPr>
        <w:spacing w:before="240" w:after="0"/>
        <w:jc w:val="both"/>
      </w:pPr>
      <w:bookmarkStart w:id="0" w:name="_GoBack"/>
      <w:bookmarkEnd w:id="0"/>
      <w:r w:rsidRPr="00223FDD">
        <w:t xml:space="preserve">Spis załączników do Zarządzenia </w:t>
      </w:r>
      <w:r w:rsidR="00634298" w:rsidRPr="00223FDD">
        <w:rPr>
          <w:b/>
        </w:rPr>
        <w:t xml:space="preserve">Nr </w:t>
      </w:r>
      <w:r w:rsidR="00C37154" w:rsidRPr="00223FDD">
        <w:rPr>
          <w:b/>
        </w:rPr>
        <w:t>162/</w:t>
      </w:r>
      <w:r w:rsidR="00634298" w:rsidRPr="00223FDD">
        <w:rPr>
          <w:b/>
        </w:rPr>
        <w:t>2020</w:t>
      </w:r>
      <w:r w:rsidRPr="00223FDD">
        <w:rPr>
          <w:b/>
        </w:rPr>
        <w:t>/DGL</w:t>
      </w:r>
      <w:r w:rsidRPr="00223FDD">
        <w:t xml:space="preserve"> Prezesa Narodowego Funduszu Zdrowia </w:t>
      </w:r>
      <w:r w:rsidR="003C6A83" w:rsidRPr="00223FDD">
        <w:br/>
      </w:r>
      <w:r w:rsidRPr="00223FDD">
        <w:t>z dnia</w:t>
      </w:r>
      <w:r w:rsidR="006B43D5" w:rsidRPr="00223FDD">
        <w:t xml:space="preserve"> </w:t>
      </w:r>
      <w:r w:rsidR="00C37154" w:rsidRPr="00223FDD">
        <w:t xml:space="preserve">16 października </w:t>
      </w:r>
      <w:r w:rsidR="00634298" w:rsidRPr="00223FDD">
        <w:t>2020</w:t>
      </w:r>
      <w:r w:rsidRPr="00223FDD">
        <w:t xml:space="preserve"> r. w sprawie określenia warunków zawierania i realizacji umów w</w:t>
      </w:r>
      <w:r w:rsidR="003C6A83" w:rsidRPr="00223FDD">
        <w:t> </w:t>
      </w:r>
      <w:r w:rsidRPr="00223FDD">
        <w:t>rodzaju leczenie szpitalne w zakresie programy lekowe: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1k</w:t>
      </w:r>
      <w:r w:rsidRPr="00223FDD">
        <w:rPr>
          <w:rFonts w:eastAsia="Times New Roman"/>
          <w:lang w:eastAsia="pl-PL"/>
        </w:rPr>
        <w:t> – Katalog świadczeń i zakresów – leczenie szpitalne – programy lekowe.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1l</w:t>
      </w:r>
      <w:r w:rsidRPr="00223FDD">
        <w:rPr>
          <w:rFonts w:eastAsia="Times New Roman"/>
          <w:lang w:eastAsia="pl-PL"/>
        </w:rPr>
        <w:t> – Katalog ryczałtów za diagnostykę w programach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1m</w:t>
      </w:r>
      <w:r w:rsidRPr="00223FDD">
        <w:rPr>
          <w:rFonts w:eastAsia="Times New Roman"/>
          <w:lang w:eastAsia="pl-PL"/>
        </w:rPr>
        <w:t xml:space="preserve"> – Katalog leków refundowanych stosowanych w programach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2</w:t>
      </w:r>
      <w:r w:rsidRPr="00223FDD">
        <w:rPr>
          <w:rFonts w:eastAsia="Times New Roman"/>
          <w:lang w:eastAsia="pl-PL"/>
        </w:rPr>
        <w:t> – Umowa o udzielanie świadczeń opieki zdrowotnej</w:t>
      </w:r>
      <w:r w:rsidRPr="00223FDD">
        <w:rPr>
          <w:b/>
          <w:bCs/>
          <w:szCs w:val="24"/>
        </w:rPr>
        <w:t xml:space="preserve">- </w:t>
      </w:r>
      <w:r w:rsidRPr="00223FDD">
        <w:rPr>
          <w:rFonts w:eastAsia="Times New Roman"/>
          <w:lang w:eastAsia="pl-PL"/>
        </w:rPr>
        <w:t>leczenie szpitalne - programy lekowe.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3</w:t>
      </w:r>
      <w:r w:rsidRPr="00223FDD">
        <w:rPr>
          <w:rFonts w:eastAsia="Times New Roman"/>
          <w:lang w:eastAsia="pl-PL"/>
        </w:rPr>
        <w:t> – Wymagania wobec świadczeniodawców udzielających świadczeń z zakresu programów lekowych.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4</w:t>
      </w:r>
      <w:r w:rsidRPr="00223FDD">
        <w:rPr>
          <w:rFonts w:eastAsia="Times New Roman"/>
          <w:lang w:eastAsia="pl-PL"/>
        </w:rPr>
        <w:t> – Wykaz programów lekowych</w:t>
      </w:r>
      <w:r w:rsidR="00414411" w:rsidRPr="00223FDD">
        <w:rPr>
          <w:rFonts w:eastAsia="Times New Roman"/>
          <w:lang w:eastAsia="pl-PL"/>
        </w:rPr>
        <w:t>.</w:t>
      </w:r>
    </w:p>
    <w:p w:rsidR="006002C4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5</w:t>
      </w:r>
      <w:r w:rsidRPr="00223FDD">
        <w:rPr>
          <w:rFonts w:eastAsia="Times New Roman"/>
          <w:lang w:eastAsia="pl-PL"/>
        </w:rPr>
        <w:t xml:space="preserve"> – Katalog współczynników korygujących</w:t>
      </w:r>
      <w:r w:rsidR="008B19F8" w:rsidRPr="00223FDD">
        <w:rPr>
          <w:rFonts w:eastAsia="Times New Roman"/>
          <w:lang w:eastAsia="pl-PL"/>
        </w:rPr>
        <w:t xml:space="preserve"> stosowanych w programach lekowych</w:t>
      </w:r>
      <w:r w:rsidRPr="00223FDD">
        <w:rPr>
          <w:rFonts w:eastAsia="Times New Roman"/>
          <w:lang w:eastAsia="pl-PL"/>
        </w:rPr>
        <w:t>.</w:t>
      </w:r>
    </w:p>
    <w:p w:rsidR="009830E9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6</w:t>
      </w:r>
      <w:r w:rsidR="009830E9" w:rsidRPr="00223FDD">
        <w:rPr>
          <w:rFonts w:eastAsia="Times New Roman"/>
          <w:lang w:eastAsia="pl-PL"/>
        </w:rPr>
        <w:t> – </w:t>
      </w:r>
      <w:r w:rsidR="0009022B" w:rsidRPr="00223FDD">
        <w:rPr>
          <w:rFonts w:eastAsia="Times New Roman"/>
          <w:lang w:eastAsia="pl-PL"/>
        </w:rPr>
        <w:t xml:space="preserve">Karta </w:t>
      </w:r>
      <w:r w:rsidR="008D3E6A" w:rsidRPr="00223FDD">
        <w:rPr>
          <w:rFonts w:eastAsia="Times New Roman"/>
          <w:lang w:eastAsia="pl-PL"/>
        </w:rPr>
        <w:t>wydania leku</w:t>
      </w:r>
      <w:r w:rsidR="009830E9" w:rsidRPr="00223FDD">
        <w:rPr>
          <w:rFonts w:eastAsia="Times New Roman"/>
          <w:lang w:eastAsia="pl-PL"/>
        </w:rPr>
        <w:t xml:space="preserve">. </w:t>
      </w:r>
    </w:p>
    <w:p w:rsidR="006B43D5" w:rsidRPr="00223FDD" w:rsidRDefault="006002C4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7</w:t>
      </w:r>
      <w:r w:rsidR="006B43D5" w:rsidRPr="00223FDD">
        <w:rPr>
          <w:rFonts w:eastAsia="Times New Roman"/>
          <w:lang w:eastAsia="pl-PL"/>
        </w:rPr>
        <w:t xml:space="preserve"> – </w:t>
      </w:r>
      <w:r w:rsidR="005502A3" w:rsidRPr="00223FDD">
        <w:rPr>
          <w:rFonts w:eastAsia="Times New Roman"/>
          <w:lang w:eastAsia="pl-PL"/>
        </w:rPr>
        <w:t xml:space="preserve">Karta włączenia </w:t>
      </w:r>
      <w:r w:rsidR="008B19F8" w:rsidRPr="00223FDD">
        <w:rPr>
          <w:rFonts w:eastAsia="Times New Roman"/>
          <w:lang w:eastAsia="pl-PL"/>
        </w:rPr>
        <w:t xml:space="preserve">świadczeniobiorcy </w:t>
      </w:r>
      <w:r w:rsidR="005502A3" w:rsidRPr="00223FDD">
        <w:rPr>
          <w:rFonts w:eastAsia="Times New Roman"/>
          <w:lang w:eastAsia="pl-PL"/>
        </w:rPr>
        <w:t>do programu lekowego.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8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biologicznego w chorobach reumatycznych oraz weryfikację jego skuteczności.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9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chorób ultrarzadkich oraz weryfikację jego skuteczności.</w:t>
      </w:r>
    </w:p>
    <w:p w:rsidR="0021462D" w:rsidRPr="00223FDD" w:rsidRDefault="006002C4" w:rsidP="00E27A26">
      <w:pPr>
        <w:spacing w:before="240" w:after="0" w:line="240" w:lineRule="auto"/>
        <w:jc w:val="both"/>
        <w:rPr>
          <w:rFonts w:ascii="Calibri" w:hAnsi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10</w:t>
      </w:r>
      <w:r w:rsidR="0021462D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 w:rsidRPr="00223FDD">
        <w:rPr>
          <w:rFonts w:ascii="Calibri" w:hAnsi="Calibri" w:cs="Arial"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bCs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</w:t>
      </w:r>
      <w:r w:rsidR="005F25D7" w:rsidRPr="00223FDD">
        <w:rPr>
          <w:rFonts w:eastAsia="Times New Roman"/>
          <w:b/>
          <w:bCs/>
          <w:lang w:eastAsia="pl-PL"/>
        </w:rPr>
        <w:t>1</w:t>
      </w:r>
      <w:r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 xml:space="preserve">Zakres działania zespołu koordynacyjnego odpowiedzialnego za kwalifikację do leczenia </w:t>
      </w:r>
      <w:r w:rsidR="005A7533" w:rsidRPr="00223FDD">
        <w:rPr>
          <w:rFonts w:eastAsia="Times New Roman"/>
          <w:lang w:eastAsia="pl-PL"/>
        </w:rPr>
        <w:t>w chorobach siatkówki</w:t>
      </w:r>
      <w:r w:rsidR="00467D25" w:rsidRPr="00223FDD">
        <w:rPr>
          <w:rFonts w:eastAsia="Times New Roman"/>
          <w:lang w:eastAsia="pl-PL"/>
        </w:rPr>
        <w:t xml:space="preserve"> oraz weryfikację efektów</w:t>
      </w:r>
      <w:r w:rsidRPr="00223FDD">
        <w:rPr>
          <w:rFonts w:eastAsia="Times New Roman"/>
          <w:bCs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</w:t>
      </w:r>
      <w:r w:rsidR="005F25D7" w:rsidRPr="00223FDD">
        <w:rPr>
          <w:rFonts w:eastAsia="Times New Roman"/>
          <w:b/>
          <w:bCs/>
          <w:lang w:eastAsia="pl-PL"/>
        </w:rPr>
        <w:t>2</w:t>
      </w:r>
      <w:r w:rsidRPr="00223FDD">
        <w:rPr>
          <w:rFonts w:eastAsia="Times New Roman"/>
          <w:lang w:eastAsia="pl-PL"/>
        </w:rPr>
        <w:t> </w:t>
      </w:r>
      <w:r w:rsidR="005502A3" w:rsidRPr="00223FDD">
        <w:rPr>
          <w:rFonts w:eastAsia="Times New Roman"/>
          <w:lang w:eastAsia="pl-PL"/>
        </w:rPr>
        <w:t>–</w:t>
      </w:r>
      <w:r w:rsidR="007C0CFE" w:rsidRPr="00223FDD">
        <w:rPr>
          <w:rFonts w:eastAsia="Times New Roman"/>
          <w:lang w:eastAsia="pl-PL"/>
        </w:rPr>
        <w:t xml:space="preserve"> 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223FDD">
        <w:rPr>
          <w:rFonts w:eastAsia="Times New Roman"/>
          <w:bCs/>
          <w:lang w:eastAsia="pl-PL"/>
        </w:rPr>
        <w:t>.</w:t>
      </w:r>
    </w:p>
    <w:p w:rsidR="0021462D" w:rsidRPr="00223FDD" w:rsidRDefault="0021462D" w:rsidP="00E27A26">
      <w:pPr>
        <w:spacing w:before="240"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223FDD">
        <w:rPr>
          <w:rFonts w:eastAsia="Times New Roman"/>
          <w:b/>
          <w:lang w:eastAsia="pl-PL"/>
        </w:rPr>
        <w:t>1</w:t>
      </w:r>
      <w:r w:rsidR="007C0CFE" w:rsidRPr="00223FDD">
        <w:rPr>
          <w:rFonts w:eastAsia="Times New Roman"/>
          <w:b/>
          <w:lang w:eastAsia="pl-PL"/>
        </w:rPr>
        <w:t>3</w:t>
      </w:r>
      <w:r w:rsidRPr="00223FDD">
        <w:rPr>
          <w:rFonts w:eastAsia="Times New Roman"/>
          <w:b/>
          <w:lang w:eastAsia="pl-PL"/>
        </w:rPr>
        <w:t xml:space="preserve"> </w:t>
      </w:r>
      <w:r w:rsidRPr="00223FDD">
        <w:rPr>
          <w:rFonts w:eastAsia="Times New Roman"/>
          <w:lang w:eastAsia="pl-PL"/>
        </w:rPr>
        <w:t xml:space="preserve">– 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 w:rsidRPr="00223FDD">
        <w:rPr>
          <w:rFonts w:ascii="Calibri" w:eastAsia="Times New Roman" w:hAnsi="Calibri" w:cs="Times New Roman"/>
          <w:bCs/>
          <w:lang w:eastAsia="pl-PL"/>
        </w:rPr>
        <w:t>.</w:t>
      </w:r>
    </w:p>
    <w:p w:rsidR="00756971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14</w:t>
      </w:r>
      <w:r w:rsidR="002F0E17" w:rsidRPr="00223FDD">
        <w:rPr>
          <w:rFonts w:eastAsia="Times New Roman"/>
          <w:lang w:eastAsia="pl-PL"/>
        </w:rPr>
        <w:t> 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leczenia hormonem wzrostu lub insulinopodobnym czynnikiem wzrostu-1 oraz weryfikację jego skuteczności.</w:t>
      </w:r>
    </w:p>
    <w:p w:rsidR="00756971" w:rsidRPr="00223FDD" w:rsidRDefault="007C0CFE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Times New Roman"/>
          <w:b/>
          <w:bCs/>
          <w:lang w:eastAsia="pl-PL"/>
        </w:rPr>
        <w:t>15</w:t>
      </w:r>
      <w:r w:rsidR="006002C4" w:rsidRPr="00223FDD">
        <w:rPr>
          <w:rFonts w:eastAsia="Times New Roman"/>
          <w:lang w:eastAsia="pl-PL"/>
        </w:rPr>
        <w:t> </w:t>
      </w:r>
      <w:r w:rsidR="00756971" w:rsidRPr="00223FDD">
        <w:rPr>
          <w:rFonts w:eastAsia="Times New Roman"/>
          <w:lang w:eastAsia="pl-PL"/>
        </w:rPr>
        <w:t>– </w:t>
      </w:r>
      <w:r w:rsidR="00467D25" w:rsidRPr="00223FDD">
        <w:rPr>
          <w:rFonts w:eastAsia="Times New Roman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223FDD">
        <w:rPr>
          <w:rFonts w:eastAsia="Calibri" w:cs="Arial"/>
          <w:lang w:eastAsia="pl-PL"/>
        </w:rPr>
        <w:t>.</w:t>
      </w:r>
    </w:p>
    <w:p w:rsidR="00671C35" w:rsidRPr="00223FDD" w:rsidRDefault="007C0CFE" w:rsidP="00E27A26">
      <w:pPr>
        <w:spacing w:before="240" w:after="0" w:line="240" w:lineRule="auto"/>
        <w:jc w:val="both"/>
        <w:rPr>
          <w:rFonts w:eastAsia="Calibri" w:cs="Arial"/>
          <w:lang w:eastAsia="pl-PL"/>
        </w:rPr>
      </w:pPr>
      <w:r w:rsidRPr="00223FDD">
        <w:rPr>
          <w:rFonts w:eastAsia="Calibri" w:cs="Arial"/>
          <w:b/>
          <w:lang w:eastAsia="pl-PL"/>
        </w:rPr>
        <w:t xml:space="preserve">16 </w:t>
      </w:r>
      <w:r w:rsidRPr="00223FDD">
        <w:rPr>
          <w:rFonts w:eastAsia="Times New Roman"/>
          <w:lang w:eastAsia="pl-PL"/>
        </w:rPr>
        <w:t xml:space="preserve">– </w:t>
      </w:r>
      <w:r w:rsidR="00467D25" w:rsidRPr="00223FDD">
        <w:rPr>
          <w:rFonts w:eastAsia="Calibri" w:cs="Arial"/>
          <w:lang w:eastAsia="pl-PL"/>
        </w:rPr>
        <w:t>Zakres działania zespołu koordynacyjnego odpowiedzialnego za kwalifikację do leczenia atypowego zespołu hemolityczno-mocznicowego (aHUS) oraz weryfikację jego skuteczności.</w:t>
      </w:r>
    </w:p>
    <w:p w:rsidR="00671C35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17</w:t>
      </w:r>
      <w:r w:rsidR="006002C4" w:rsidRPr="00223FDD">
        <w:rPr>
          <w:rFonts w:eastAsia="Times New Roman"/>
          <w:lang w:eastAsia="pl-PL"/>
        </w:rPr>
        <w:t xml:space="preserve"> </w:t>
      </w:r>
      <w:r w:rsidR="00671C35" w:rsidRPr="00223FDD">
        <w:rPr>
          <w:rFonts w:eastAsia="Times New Roman"/>
          <w:bCs/>
          <w:lang w:eastAsia="pl-PL"/>
        </w:rPr>
        <w:t>– </w:t>
      </w:r>
      <w:r w:rsidR="00467D25" w:rsidRPr="00223FDD">
        <w:rPr>
          <w:rFonts w:eastAsia="Times New Roman"/>
          <w:lang w:eastAsia="pl-PL"/>
        </w:rPr>
        <w:t>Zakres działania zespołu koordynacyjnego odpowiedzialnego za weryfikację skuteczności</w:t>
      </w:r>
      <w:r w:rsidR="00511FCF" w:rsidRPr="00223FDD">
        <w:rPr>
          <w:rFonts w:eastAsia="Times New Roman"/>
          <w:lang w:eastAsia="pl-PL"/>
        </w:rPr>
        <w:t xml:space="preserve"> leczenia nocnej napadowej hemoglobinurii (PNH)</w:t>
      </w:r>
      <w:r w:rsidR="00467D25" w:rsidRPr="00223FDD">
        <w:rPr>
          <w:rFonts w:eastAsia="Times New Roman"/>
          <w:lang w:eastAsia="pl-PL"/>
        </w:rPr>
        <w:t>.</w:t>
      </w:r>
    </w:p>
    <w:p w:rsidR="001518AE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18</w:t>
      </w:r>
      <w:r w:rsidR="001518AE" w:rsidRPr="00223FDD">
        <w:rPr>
          <w:rFonts w:eastAsia="Times New Roman"/>
          <w:lang w:eastAsia="pl-PL"/>
        </w:rPr>
        <w:t xml:space="preserve"> </w:t>
      </w:r>
      <w:r w:rsidR="005D7536" w:rsidRPr="00223FDD">
        <w:rPr>
          <w:rFonts w:eastAsia="Times New Roman"/>
          <w:lang w:eastAsia="pl-PL"/>
        </w:rPr>
        <w:t>–</w:t>
      </w:r>
      <w:r w:rsidR="001518AE" w:rsidRPr="00223FDD">
        <w:rPr>
          <w:rFonts w:eastAsia="Times New Roman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lastRenderedPageBreak/>
        <w:t>19</w:t>
      </w:r>
      <w:r w:rsidR="00912AA7" w:rsidRPr="00223FDD">
        <w:rPr>
          <w:rFonts w:eastAsia="Times New Roman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p w:rsidR="00ED66F7" w:rsidRPr="00223FDD" w:rsidRDefault="007C0CF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20</w:t>
      </w:r>
      <w:r w:rsidR="00ED66F7" w:rsidRPr="00223FDD">
        <w:rPr>
          <w:rFonts w:eastAsia="Times New Roman"/>
          <w:b/>
          <w:lang w:eastAsia="pl-PL"/>
        </w:rPr>
        <w:t xml:space="preserve"> </w:t>
      </w:r>
      <w:r w:rsidR="00ED66F7" w:rsidRPr="00223FDD">
        <w:rPr>
          <w:rFonts w:eastAsia="Times New Roman"/>
          <w:lang w:eastAsia="pl-PL"/>
        </w:rPr>
        <w:t xml:space="preserve">- </w:t>
      </w:r>
      <w:r w:rsidR="006B21D8" w:rsidRPr="00223FDD">
        <w:rPr>
          <w:rFonts w:eastAsia="Times New Roman"/>
          <w:lang w:eastAsia="pl-PL"/>
        </w:rPr>
        <w:t>Zakres działania zespołu koordynacyjnego odpowiedzialnego za kwalifikację do leczenia zapalenia błony naczyniowej oka (ZBN) oraz weryfikację jego efektów.</w:t>
      </w:r>
    </w:p>
    <w:p w:rsidR="006F21FD" w:rsidRPr="00223FDD" w:rsidRDefault="006F21FD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 xml:space="preserve">21 </w:t>
      </w:r>
      <w:r w:rsidRPr="00223FDD">
        <w:rPr>
          <w:rFonts w:eastAsia="Times New Roman"/>
          <w:lang w:eastAsia="pl-PL"/>
        </w:rPr>
        <w:t>- Zakres działania zespołu koordynacyjnego odpowiedzialnego za kwalifikację do leczenia dinutuksymabem beta pacjentów z nerwiakiem zarodkowym współczulnym oraz weryfikację jego efektów.</w:t>
      </w:r>
    </w:p>
    <w:p w:rsidR="00494C85" w:rsidRPr="00223FDD" w:rsidRDefault="00494C85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22</w:t>
      </w:r>
      <w:r w:rsidRPr="00223FDD">
        <w:rPr>
          <w:rFonts w:eastAsia="Times New Roman"/>
          <w:lang w:eastAsia="pl-PL"/>
        </w:rPr>
        <w:t xml:space="preserve"> - </w:t>
      </w:r>
      <w:r w:rsidR="003C5C6A" w:rsidRPr="00223FDD">
        <w:rPr>
          <w:rFonts w:eastAsia="Times New Roman"/>
          <w:lang w:eastAsia="pl-PL"/>
        </w:rPr>
        <w:t>Z</w:t>
      </w:r>
      <w:r w:rsidRPr="00223FDD">
        <w:rPr>
          <w:rFonts w:eastAsia="Times New Roman"/>
          <w:lang w:eastAsia="pl-PL"/>
        </w:rPr>
        <w:t>akres działania zespołu koordynacyjnego odpowiedzialnego za kwalifikację do leczenia hormonem wzrostu w programie lekowym Leczenie ciężkiego niedoboru hormonu wzrostu</w:t>
      </w:r>
      <w:r w:rsidRPr="00223FDD">
        <w:rPr>
          <w:rFonts w:eastAsia="Times New Roman"/>
          <w:lang w:eastAsia="pl-PL"/>
        </w:rPr>
        <w:br/>
        <w:t>u pacjentów dorosłych oraz u młodzieży po zakończeniu terapii promującej wzrastanie.</w:t>
      </w:r>
    </w:p>
    <w:p w:rsidR="00E27A26" w:rsidRPr="00223FDD" w:rsidRDefault="00E27A26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223FDD">
        <w:rPr>
          <w:rFonts w:eastAsia="Times New Roman"/>
          <w:b/>
          <w:lang w:eastAsia="pl-PL"/>
        </w:rPr>
        <w:t>23</w:t>
      </w:r>
      <w:r w:rsidRPr="00223FDD">
        <w:rPr>
          <w:rFonts w:eastAsia="Times New Roman"/>
          <w:lang w:eastAsia="pl-PL"/>
        </w:rPr>
        <w:t xml:space="preserve"> – Wzór pełnomocnictwa.</w:t>
      </w:r>
    </w:p>
    <w:p w:rsidR="00AE317E" w:rsidRPr="00223FDD" w:rsidRDefault="00AE317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9F0FEB">
        <w:rPr>
          <w:rFonts w:eastAsia="Times New Roman"/>
          <w:b/>
          <w:lang w:eastAsia="pl-PL"/>
        </w:rPr>
        <w:t>24</w:t>
      </w:r>
      <w:r w:rsidRPr="00223FDD">
        <w:rPr>
          <w:rFonts w:eastAsia="Times New Roman"/>
          <w:lang w:eastAsia="pl-PL"/>
        </w:rPr>
        <w:t xml:space="preserve"> – Zakres działania zespołu koordynacyjnego odpowiedzialnego za kwalifikację do leczenia</w:t>
      </w:r>
      <w:r w:rsidR="00DD645A" w:rsidRPr="00223FDD">
        <w:rPr>
          <w:rFonts w:eastAsia="Times New Roman"/>
          <w:lang w:eastAsia="pl-PL"/>
        </w:rPr>
        <w:t xml:space="preserve"> tisagenlecleucelem w programie lekowym </w:t>
      </w:r>
      <w:r w:rsidR="00FA1D9C" w:rsidRPr="00223FDD">
        <w:rPr>
          <w:rFonts w:eastAsia="Times New Roman"/>
          <w:lang w:eastAsia="pl-PL"/>
        </w:rPr>
        <w:t>L</w:t>
      </w:r>
      <w:r w:rsidR="00DD645A" w:rsidRPr="00223FDD">
        <w:rPr>
          <w:rFonts w:eastAsia="Times New Roman"/>
          <w:lang w:eastAsia="pl-PL"/>
        </w:rPr>
        <w:t>eczenie chorych na ostrą białaczkę limfoblastyczną.</w:t>
      </w:r>
    </w:p>
    <w:p w:rsidR="00AE317E" w:rsidRPr="00223FDD" w:rsidRDefault="00AE317E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  <w:r w:rsidRPr="009F0FEB">
        <w:rPr>
          <w:rFonts w:eastAsia="Times New Roman"/>
          <w:b/>
          <w:lang w:eastAsia="pl-PL"/>
        </w:rPr>
        <w:t xml:space="preserve">25 </w:t>
      </w:r>
      <w:r w:rsidRPr="00223FDD">
        <w:rPr>
          <w:rFonts w:eastAsia="Times New Roman"/>
          <w:lang w:eastAsia="pl-PL"/>
        </w:rPr>
        <w:t xml:space="preserve">– Zakres działania zespołu koordynacyjnego odpowiedzialnego za kwalifikację do leczenia </w:t>
      </w:r>
      <w:r w:rsidR="00DD645A" w:rsidRPr="00223FDD">
        <w:rPr>
          <w:rFonts w:eastAsia="Times New Roman"/>
          <w:lang w:eastAsia="pl-PL"/>
        </w:rPr>
        <w:t xml:space="preserve">w programie lekowym </w:t>
      </w:r>
      <w:r w:rsidR="00FA1D9C" w:rsidRPr="00223FDD">
        <w:rPr>
          <w:rFonts w:eastAsia="Times New Roman"/>
          <w:lang w:eastAsia="pl-PL"/>
        </w:rPr>
        <w:t>L</w:t>
      </w:r>
      <w:r w:rsidR="00DD645A" w:rsidRPr="00223FDD">
        <w:rPr>
          <w:rFonts w:eastAsia="Times New Roman"/>
          <w:lang w:eastAsia="pl-PL"/>
        </w:rPr>
        <w:t>eczenie pacjentów z chorobą Wilsona.</w:t>
      </w:r>
    </w:p>
    <w:p w:rsidR="00E27A26" w:rsidRPr="00223FDD" w:rsidRDefault="00E27A26" w:rsidP="00E27A26">
      <w:pPr>
        <w:spacing w:before="240" w:after="0" w:line="240" w:lineRule="auto"/>
        <w:jc w:val="both"/>
        <w:rPr>
          <w:rFonts w:eastAsia="Times New Roman"/>
          <w:lang w:eastAsia="pl-PL"/>
        </w:rPr>
      </w:pPr>
    </w:p>
    <w:sectPr w:rsidR="00E27A26" w:rsidRPr="00223FDD" w:rsidSect="003F359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2D"/>
    <w:rsid w:val="0009022B"/>
    <w:rsid w:val="000E2C06"/>
    <w:rsid w:val="001518AE"/>
    <w:rsid w:val="00190554"/>
    <w:rsid w:val="001933AA"/>
    <w:rsid w:val="00194ED1"/>
    <w:rsid w:val="001A1020"/>
    <w:rsid w:val="0021462D"/>
    <w:rsid w:val="00223FDD"/>
    <w:rsid w:val="0025493D"/>
    <w:rsid w:val="0025629E"/>
    <w:rsid w:val="002B1F78"/>
    <w:rsid w:val="002F0BB3"/>
    <w:rsid w:val="002F0E17"/>
    <w:rsid w:val="0033316A"/>
    <w:rsid w:val="00383B94"/>
    <w:rsid w:val="003B3247"/>
    <w:rsid w:val="003C5C6A"/>
    <w:rsid w:val="003C6A83"/>
    <w:rsid w:val="003F359A"/>
    <w:rsid w:val="00414411"/>
    <w:rsid w:val="00447B15"/>
    <w:rsid w:val="00467D25"/>
    <w:rsid w:val="00494C85"/>
    <w:rsid w:val="004E1268"/>
    <w:rsid w:val="004E7ABA"/>
    <w:rsid w:val="004F3528"/>
    <w:rsid w:val="00511FCF"/>
    <w:rsid w:val="005502A3"/>
    <w:rsid w:val="00577DF5"/>
    <w:rsid w:val="005A7533"/>
    <w:rsid w:val="005D7536"/>
    <w:rsid w:val="005F25D7"/>
    <w:rsid w:val="006002C4"/>
    <w:rsid w:val="00634298"/>
    <w:rsid w:val="00671C35"/>
    <w:rsid w:val="006B21D8"/>
    <w:rsid w:val="006B43D5"/>
    <w:rsid w:val="006C0673"/>
    <w:rsid w:val="006F21FD"/>
    <w:rsid w:val="00722102"/>
    <w:rsid w:val="00756971"/>
    <w:rsid w:val="007A31B2"/>
    <w:rsid w:val="007C0CFE"/>
    <w:rsid w:val="007E4F7C"/>
    <w:rsid w:val="0083452A"/>
    <w:rsid w:val="0085010E"/>
    <w:rsid w:val="008A18C6"/>
    <w:rsid w:val="008B19F8"/>
    <w:rsid w:val="008D0AA1"/>
    <w:rsid w:val="008D3E6A"/>
    <w:rsid w:val="008E02A9"/>
    <w:rsid w:val="008E2711"/>
    <w:rsid w:val="00912AA7"/>
    <w:rsid w:val="009830E9"/>
    <w:rsid w:val="009A3FA8"/>
    <w:rsid w:val="009B4AA9"/>
    <w:rsid w:val="009D3385"/>
    <w:rsid w:val="009F0FEB"/>
    <w:rsid w:val="00A7686C"/>
    <w:rsid w:val="00AE15C1"/>
    <w:rsid w:val="00AE317E"/>
    <w:rsid w:val="00B15060"/>
    <w:rsid w:val="00BC70C3"/>
    <w:rsid w:val="00BF64EB"/>
    <w:rsid w:val="00C37154"/>
    <w:rsid w:val="00C56EE3"/>
    <w:rsid w:val="00C85F1A"/>
    <w:rsid w:val="00CA00BC"/>
    <w:rsid w:val="00CC6CAD"/>
    <w:rsid w:val="00D26E63"/>
    <w:rsid w:val="00D4511B"/>
    <w:rsid w:val="00D5558B"/>
    <w:rsid w:val="00DD645A"/>
    <w:rsid w:val="00E14D2F"/>
    <w:rsid w:val="00E27A26"/>
    <w:rsid w:val="00E32647"/>
    <w:rsid w:val="00E716EA"/>
    <w:rsid w:val="00ED66F7"/>
    <w:rsid w:val="00ED7118"/>
    <w:rsid w:val="00F13297"/>
    <w:rsid w:val="00F37ED0"/>
    <w:rsid w:val="00F57A79"/>
    <w:rsid w:val="00FA1D9C"/>
    <w:rsid w:val="00FB26C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EFD82-22AF-4EC5-8CBA-C7A95306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Popek Marta</cp:lastModifiedBy>
  <cp:revision>2</cp:revision>
  <cp:lastPrinted>2020-10-16T13:26:00Z</cp:lastPrinted>
  <dcterms:created xsi:type="dcterms:W3CDTF">2021-10-12T14:02:00Z</dcterms:created>
  <dcterms:modified xsi:type="dcterms:W3CDTF">2021-10-12T14:02:00Z</dcterms:modified>
</cp:coreProperties>
</file>