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4FF" w:rsidRPr="00907E0B" w:rsidRDefault="002542AB" w:rsidP="004A77EF">
      <w:pPr>
        <w:jc w:val="center"/>
        <w:rPr>
          <w:rFonts w:ascii="Arial" w:hAnsi="Arial" w:cs="Arial"/>
          <w:b/>
        </w:rPr>
      </w:pPr>
      <w:r w:rsidRPr="00907E0B">
        <w:rPr>
          <w:rFonts w:ascii="Arial" w:hAnsi="Arial" w:cs="Arial"/>
          <w:b/>
        </w:rPr>
        <w:t>Uzasadnienie</w:t>
      </w:r>
    </w:p>
    <w:p w:rsidR="004A77EF" w:rsidRDefault="004A77EF" w:rsidP="004168CE">
      <w:pPr>
        <w:spacing w:line="360" w:lineRule="auto"/>
        <w:jc w:val="both"/>
        <w:rPr>
          <w:rFonts w:ascii="Arial" w:hAnsi="Arial" w:cs="Arial"/>
          <w:bCs/>
        </w:rPr>
      </w:pPr>
    </w:p>
    <w:p w:rsidR="00BE58A8" w:rsidRDefault="00BE58A8" w:rsidP="009F118D">
      <w:pPr>
        <w:spacing w:after="240" w:line="360" w:lineRule="auto"/>
        <w:ind w:firstLine="567"/>
        <w:jc w:val="both"/>
        <w:rPr>
          <w:rFonts w:ascii="Arial" w:hAnsi="Arial" w:cs="Arial"/>
        </w:rPr>
      </w:pPr>
      <w:r w:rsidRPr="00FA112A">
        <w:rPr>
          <w:rFonts w:ascii="Arial" w:hAnsi="Arial" w:cs="Arial"/>
        </w:rPr>
        <w:t>Zarządzenie stanowi realizację upoważnienia ustawowego zawar</w:t>
      </w:r>
      <w:r>
        <w:rPr>
          <w:rFonts w:ascii="Arial" w:hAnsi="Arial" w:cs="Arial"/>
        </w:rPr>
        <w:t xml:space="preserve">tego </w:t>
      </w:r>
      <w:r w:rsidR="009F118D">
        <w:rPr>
          <w:rFonts w:ascii="Arial" w:hAnsi="Arial" w:cs="Arial"/>
        </w:rPr>
        <w:br/>
      </w:r>
      <w:r>
        <w:rPr>
          <w:rFonts w:ascii="Arial" w:hAnsi="Arial" w:cs="Arial"/>
        </w:rPr>
        <w:t xml:space="preserve">w art. 146 ust.1 </w:t>
      </w:r>
      <w:r w:rsidRPr="00FA112A">
        <w:rPr>
          <w:rFonts w:ascii="Arial" w:hAnsi="Arial" w:cs="Arial"/>
        </w:rPr>
        <w:t>ustawy z dnia 27 sierpnia 2004 r. o świadczeniach opieki zdrowotnej finansowanych ze środków publiczn</w:t>
      </w:r>
      <w:r>
        <w:rPr>
          <w:rFonts w:ascii="Arial" w:hAnsi="Arial" w:cs="Arial"/>
        </w:rPr>
        <w:t>ych (</w:t>
      </w:r>
      <w:r w:rsidR="0077248E" w:rsidRPr="00E63267">
        <w:rPr>
          <w:rFonts w:ascii="Arial" w:hAnsi="Arial" w:cs="Arial"/>
        </w:rPr>
        <w:t>Dz. U. z 2019 r. poz. 1373</w:t>
      </w:r>
      <w:r w:rsidR="002639F6">
        <w:rPr>
          <w:rFonts w:ascii="Arial" w:hAnsi="Arial" w:cs="Arial"/>
        </w:rPr>
        <w:t>,</w:t>
      </w:r>
      <w:r w:rsidR="00AB35D8">
        <w:rPr>
          <w:rFonts w:ascii="Arial" w:hAnsi="Arial" w:cs="Arial"/>
        </w:rPr>
        <w:t xml:space="preserve"> </w:t>
      </w:r>
      <w:r w:rsidR="00AD6B46" w:rsidRPr="003B5DFC">
        <w:rPr>
          <w:rFonts w:ascii="Arial" w:hAnsi="Arial" w:cs="Arial"/>
        </w:rPr>
        <w:t xml:space="preserve">z późn. zm.), </w:t>
      </w:r>
      <w:r w:rsidRPr="00FA112A">
        <w:rPr>
          <w:rFonts w:ascii="Arial" w:hAnsi="Arial" w:cs="Arial"/>
        </w:rPr>
        <w:t xml:space="preserve">zwanej dalej </w:t>
      </w:r>
      <w:r>
        <w:rPr>
          <w:rFonts w:ascii="Arial" w:hAnsi="Arial" w:cs="Arial"/>
        </w:rPr>
        <w:t>„</w:t>
      </w:r>
      <w:r w:rsidRPr="00EF1C06">
        <w:rPr>
          <w:rFonts w:ascii="Arial" w:hAnsi="Arial" w:cs="Arial"/>
        </w:rPr>
        <w:t>ustawą o świadczeniach</w:t>
      </w:r>
      <w:r>
        <w:rPr>
          <w:rFonts w:ascii="Arial" w:hAnsi="Arial" w:cs="Arial"/>
        </w:rPr>
        <w:t>”.</w:t>
      </w:r>
    </w:p>
    <w:p w:rsidR="00B05AC6" w:rsidRDefault="00C214D9" w:rsidP="00B05AC6">
      <w:pPr>
        <w:spacing w:line="360" w:lineRule="auto"/>
        <w:ind w:firstLine="567"/>
        <w:jc w:val="both"/>
        <w:rPr>
          <w:rFonts w:ascii="Arial" w:hAnsi="Arial" w:cs="Arial"/>
        </w:rPr>
      </w:pPr>
      <w:r>
        <w:rPr>
          <w:rFonts w:ascii="Arial" w:hAnsi="Arial" w:cs="Arial"/>
        </w:rPr>
        <w:t xml:space="preserve">Zmiany </w:t>
      </w:r>
      <w:r w:rsidR="00BE58A8" w:rsidRPr="00EE3DF9">
        <w:rPr>
          <w:rFonts w:ascii="Arial" w:hAnsi="Arial" w:cs="Arial"/>
        </w:rPr>
        <w:t xml:space="preserve">wprowadzone niniejszym </w:t>
      </w:r>
      <w:r w:rsidR="009F118D">
        <w:rPr>
          <w:rFonts w:ascii="Arial" w:hAnsi="Arial" w:cs="Arial"/>
        </w:rPr>
        <w:t>zarządzeniem do zarządzenia Nr </w:t>
      </w:r>
      <w:r w:rsidR="003D66FC">
        <w:rPr>
          <w:rFonts w:ascii="Arial" w:hAnsi="Arial" w:cs="Arial"/>
          <w:bCs/>
        </w:rPr>
        <w:t>180</w:t>
      </w:r>
      <w:r w:rsidR="00BE58A8" w:rsidRPr="009E6486">
        <w:rPr>
          <w:rFonts w:ascii="Arial" w:hAnsi="Arial" w:cs="Arial"/>
          <w:bCs/>
        </w:rPr>
        <w:t>/201</w:t>
      </w:r>
      <w:r w:rsidR="003D66FC">
        <w:rPr>
          <w:rFonts w:ascii="Arial" w:hAnsi="Arial" w:cs="Arial"/>
          <w:bCs/>
        </w:rPr>
        <w:t>9</w:t>
      </w:r>
      <w:r w:rsidR="00BE58A8" w:rsidRPr="009E6486">
        <w:rPr>
          <w:rFonts w:ascii="Arial" w:hAnsi="Arial" w:cs="Arial"/>
          <w:bCs/>
        </w:rPr>
        <w:t xml:space="preserve">/DGL </w:t>
      </w:r>
      <w:r w:rsidR="00BE58A8" w:rsidRPr="009F539C">
        <w:rPr>
          <w:rFonts w:ascii="Arial" w:hAnsi="Arial" w:cs="Arial"/>
        </w:rPr>
        <w:t xml:space="preserve">Prezesa Narodowego Funduszu Zdrowia z dnia </w:t>
      </w:r>
      <w:r w:rsidR="003D66FC">
        <w:rPr>
          <w:rFonts w:ascii="Arial" w:hAnsi="Arial" w:cs="Arial"/>
        </w:rPr>
        <w:t>31</w:t>
      </w:r>
      <w:r w:rsidR="00BE58A8">
        <w:rPr>
          <w:rFonts w:ascii="Arial" w:hAnsi="Arial" w:cs="Arial"/>
        </w:rPr>
        <w:t xml:space="preserve"> </w:t>
      </w:r>
      <w:r w:rsidR="003D66FC">
        <w:rPr>
          <w:rFonts w:ascii="Arial" w:hAnsi="Arial" w:cs="Arial"/>
        </w:rPr>
        <w:t>grudnia 2019</w:t>
      </w:r>
      <w:r w:rsidR="00157357">
        <w:rPr>
          <w:rFonts w:ascii="Arial" w:hAnsi="Arial" w:cs="Arial"/>
        </w:rPr>
        <w:t xml:space="preserve"> r.</w:t>
      </w:r>
      <w:r w:rsidR="00BE58A8" w:rsidRPr="00EE3DF9">
        <w:rPr>
          <w:rFonts w:ascii="Arial" w:hAnsi="Arial" w:cs="Arial"/>
        </w:rPr>
        <w:t xml:space="preserve"> w sprawie określenia warunków zawierania i realizacji umów w rodzaju leczenie szpitalne </w:t>
      </w:r>
      <w:r w:rsidR="00B05AC6" w:rsidRPr="00EE3DF9">
        <w:rPr>
          <w:rFonts w:ascii="Arial" w:hAnsi="Arial" w:cs="Arial"/>
        </w:rPr>
        <w:t xml:space="preserve">w zakresie </w:t>
      </w:r>
      <w:r w:rsidR="00B05AC6">
        <w:rPr>
          <w:rFonts w:ascii="Arial" w:hAnsi="Arial" w:cs="Arial"/>
        </w:rPr>
        <w:t xml:space="preserve">chemioterapia </w:t>
      </w:r>
      <w:r w:rsidR="00BC5446">
        <w:rPr>
          <w:rFonts w:ascii="Arial" w:hAnsi="Arial" w:cs="Arial"/>
        </w:rPr>
        <w:t>polegają na</w:t>
      </w:r>
      <w:r w:rsidR="00B05AC6">
        <w:rPr>
          <w:rFonts w:ascii="Arial" w:hAnsi="Arial" w:cs="Arial"/>
        </w:rPr>
        <w:t>:</w:t>
      </w:r>
    </w:p>
    <w:p w:rsidR="00BC5446" w:rsidRDefault="00BC5446" w:rsidP="00E817F0">
      <w:pPr>
        <w:pStyle w:val="Akapitzlist"/>
        <w:numPr>
          <w:ilvl w:val="0"/>
          <w:numId w:val="1"/>
        </w:numPr>
        <w:spacing w:line="360" w:lineRule="auto"/>
        <w:jc w:val="both"/>
        <w:rPr>
          <w:rFonts w:ascii="Arial" w:hAnsi="Arial" w:cs="Arial"/>
        </w:rPr>
      </w:pPr>
      <w:r>
        <w:rPr>
          <w:rFonts w:ascii="Arial" w:hAnsi="Arial" w:cs="Arial"/>
        </w:rPr>
        <w:t xml:space="preserve">umożliwieniu realizacji świadczeń </w:t>
      </w:r>
      <w:r w:rsidRPr="00BC5446">
        <w:rPr>
          <w:rFonts w:ascii="Arial" w:hAnsi="Arial" w:cs="Arial"/>
        </w:rPr>
        <w:t xml:space="preserve">z </w:t>
      </w:r>
      <w:r w:rsidR="00F36433">
        <w:rPr>
          <w:rFonts w:ascii="Arial" w:hAnsi="Arial" w:cs="Arial"/>
        </w:rPr>
        <w:t xml:space="preserve">wykorzystaniem </w:t>
      </w:r>
      <w:r w:rsidR="000E67AB" w:rsidRPr="003543A4">
        <w:rPr>
          <w:rFonts w:ascii="Arial" w:hAnsi="Arial" w:cs="Arial"/>
        </w:rPr>
        <w:t>jednorazowych pomp elastomerowych do terapii infuzyjnej</w:t>
      </w:r>
      <w:r>
        <w:rPr>
          <w:rFonts w:ascii="Arial" w:hAnsi="Arial" w:cs="Arial"/>
        </w:rPr>
        <w:t xml:space="preserve"> – zgodnie z projektowanymi zamianami w katalogu 1e </w:t>
      </w:r>
      <w:r w:rsidR="000556CC">
        <w:rPr>
          <w:rFonts w:ascii="Arial" w:hAnsi="Arial" w:cs="Arial"/>
        </w:rPr>
        <w:t xml:space="preserve">określającym </w:t>
      </w:r>
      <w:r w:rsidR="000556CC" w:rsidRPr="000556CC">
        <w:rPr>
          <w:rFonts w:ascii="Arial" w:hAnsi="Arial" w:cs="Arial"/>
        </w:rPr>
        <w:t>Katalog świadczeń podstawowych</w:t>
      </w:r>
      <w:r w:rsidR="000556CC">
        <w:rPr>
          <w:rFonts w:ascii="Arial" w:hAnsi="Arial" w:cs="Arial"/>
        </w:rPr>
        <w:t xml:space="preserve"> </w:t>
      </w:r>
      <w:r>
        <w:rPr>
          <w:rFonts w:ascii="Arial" w:hAnsi="Arial" w:cs="Arial"/>
        </w:rPr>
        <w:t>dodano produkt rozliczeniowy</w:t>
      </w:r>
      <w:r w:rsidR="000556CC">
        <w:rPr>
          <w:rFonts w:ascii="Arial" w:hAnsi="Arial" w:cs="Arial"/>
        </w:rPr>
        <w:t xml:space="preserve"> o kodzie </w:t>
      </w:r>
      <w:r w:rsidR="000556CC" w:rsidRPr="000556CC">
        <w:rPr>
          <w:rFonts w:ascii="Arial" w:hAnsi="Arial" w:cs="Arial"/>
        </w:rPr>
        <w:t>5.08.05.0000</w:t>
      </w:r>
      <w:r w:rsidR="004536FD">
        <w:rPr>
          <w:rFonts w:ascii="Arial" w:hAnsi="Arial" w:cs="Arial"/>
        </w:rPr>
        <w:t xml:space="preserve">177 </w:t>
      </w:r>
      <w:r w:rsidR="003543A4" w:rsidRPr="003543A4">
        <w:rPr>
          <w:rFonts w:ascii="Arial" w:hAnsi="Arial" w:cs="Arial"/>
        </w:rPr>
        <w:t>hospitalizacja jednego dnia z</w:t>
      </w:r>
      <w:r w:rsidR="004A45BE">
        <w:rPr>
          <w:rFonts w:ascii="Arial" w:hAnsi="Arial" w:cs="Arial"/>
        </w:rPr>
        <w:t> </w:t>
      </w:r>
      <w:r w:rsidR="003543A4" w:rsidRPr="003543A4">
        <w:rPr>
          <w:rFonts w:ascii="Arial" w:hAnsi="Arial" w:cs="Arial"/>
        </w:rPr>
        <w:t>zastosowaniem jednorazowych pomp elastomerowych do terapii infuzyjnej</w:t>
      </w:r>
      <w:r w:rsidR="000556CC">
        <w:rPr>
          <w:rFonts w:ascii="Arial" w:hAnsi="Arial" w:cs="Arial"/>
        </w:rPr>
        <w:t xml:space="preserve">. </w:t>
      </w:r>
      <w:r>
        <w:rPr>
          <w:rFonts w:ascii="Arial" w:hAnsi="Arial" w:cs="Arial"/>
        </w:rPr>
        <w:t xml:space="preserve"> </w:t>
      </w:r>
    </w:p>
    <w:p w:rsidR="00BC5446" w:rsidRPr="00BC5446" w:rsidRDefault="00BC5446" w:rsidP="00BC5446">
      <w:pPr>
        <w:pStyle w:val="Akapitzlist"/>
        <w:spacing w:line="360" w:lineRule="auto"/>
        <w:jc w:val="both"/>
        <w:rPr>
          <w:rFonts w:ascii="Arial" w:hAnsi="Arial" w:cs="Arial"/>
        </w:rPr>
      </w:pPr>
      <w:r>
        <w:rPr>
          <w:rFonts w:ascii="Arial" w:hAnsi="Arial" w:cs="Arial"/>
        </w:rPr>
        <w:t xml:space="preserve">Wprowadzona zmiana ma na celu </w:t>
      </w:r>
      <w:r w:rsidRPr="00BC5446">
        <w:rPr>
          <w:rFonts w:ascii="Arial" w:hAnsi="Arial" w:cs="Arial"/>
        </w:rPr>
        <w:t>poprawę jakości życia pacjentów</w:t>
      </w:r>
      <w:r>
        <w:rPr>
          <w:rFonts w:ascii="Arial" w:hAnsi="Arial" w:cs="Arial"/>
        </w:rPr>
        <w:t>, poprzez skrócenie okresu hospitalizacji do niezbędnego minimum</w:t>
      </w:r>
      <w:r w:rsidRPr="00BC5446">
        <w:rPr>
          <w:rFonts w:ascii="Arial" w:hAnsi="Arial" w:cs="Arial"/>
        </w:rPr>
        <w:t xml:space="preserve"> </w:t>
      </w:r>
      <w:r w:rsidR="0036079C">
        <w:rPr>
          <w:rFonts w:ascii="Arial" w:hAnsi="Arial" w:cs="Arial"/>
        </w:rPr>
        <w:t xml:space="preserve">– </w:t>
      </w:r>
      <w:r w:rsidRPr="00BC5446">
        <w:rPr>
          <w:rFonts w:ascii="Arial" w:hAnsi="Arial" w:cs="Arial"/>
        </w:rPr>
        <w:t>pacjenci</w:t>
      </w:r>
      <w:r w:rsidR="0036079C">
        <w:rPr>
          <w:rFonts w:ascii="Arial" w:hAnsi="Arial" w:cs="Arial"/>
        </w:rPr>
        <w:t xml:space="preserve"> </w:t>
      </w:r>
      <w:r w:rsidRPr="00BC5446">
        <w:rPr>
          <w:rFonts w:ascii="Arial" w:hAnsi="Arial" w:cs="Arial"/>
        </w:rPr>
        <w:t xml:space="preserve">poddani tego typu terapii mogą </w:t>
      </w:r>
      <w:r w:rsidR="001C1EC2">
        <w:rPr>
          <w:rFonts w:ascii="Arial" w:hAnsi="Arial" w:cs="Arial"/>
        </w:rPr>
        <w:t xml:space="preserve">być czynni zawodowo i nie podlegają wykluczeniu społecznemu. </w:t>
      </w:r>
      <w:r w:rsidR="0036079C">
        <w:rPr>
          <w:rFonts w:ascii="Arial" w:hAnsi="Arial" w:cs="Arial"/>
        </w:rPr>
        <w:t>Zaproponowane rozwiązanie spotkało się z pozytywnym odbiorem organizacji pacjenckich zrzeszających osoby zmagające się z chorobą nowotworową. Przedstawiciele wskazanych organizacji podkreślali, że wskazana forma leczenia poprawia jakość leczenia oraz przeciwdziała wykluczeniu osób chorujących na choroby nowotworowe</w:t>
      </w:r>
      <w:r>
        <w:rPr>
          <w:rFonts w:ascii="Arial" w:hAnsi="Arial" w:cs="Arial"/>
        </w:rPr>
        <w:t>;</w:t>
      </w:r>
    </w:p>
    <w:p w:rsidR="00B05AC6" w:rsidRDefault="00B05AC6" w:rsidP="00E817F0">
      <w:pPr>
        <w:pStyle w:val="Akapitzlist"/>
        <w:numPr>
          <w:ilvl w:val="0"/>
          <w:numId w:val="1"/>
        </w:numPr>
        <w:spacing w:line="360" w:lineRule="auto"/>
        <w:jc w:val="both"/>
        <w:rPr>
          <w:rFonts w:ascii="Arial" w:hAnsi="Arial" w:cs="Arial"/>
        </w:rPr>
      </w:pPr>
      <w:r w:rsidRPr="00B05AC6">
        <w:rPr>
          <w:rFonts w:ascii="Arial" w:hAnsi="Arial" w:cs="Arial"/>
        </w:rPr>
        <w:t xml:space="preserve">dostosowaniu zapisów zarządzenia do możliwości przeprowadzania wspólnych postępowań na zakup leków, środków spożywczych specjalnego przeznaczenia żywieniowego oraz wyrobów medycznych przysługujących świadczeniobiorcom, w przypadku, </w:t>
      </w:r>
      <w:r w:rsidRPr="004C7D52">
        <w:rPr>
          <w:rFonts w:ascii="Arial" w:hAnsi="Arial" w:cs="Arial"/>
        </w:rPr>
        <w:t>o którym mowa w art. 132 ust. 2a, prowadzonych na podstawie przepisów o zamówieniach publicznych –</w:t>
      </w:r>
      <w:r w:rsidR="004054C9">
        <w:rPr>
          <w:rFonts w:ascii="Arial" w:hAnsi="Arial" w:cs="Arial"/>
        </w:rPr>
        <w:t>stosownie do</w:t>
      </w:r>
      <w:r w:rsidRPr="00B05AC6">
        <w:rPr>
          <w:rFonts w:ascii="Arial" w:hAnsi="Arial" w:cs="Arial"/>
        </w:rPr>
        <w:t xml:space="preserve"> art. 97 ust. 3 </w:t>
      </w:r>
      <w:r w:rsidR="004C7D52">
        <w:rPr>
          <w:rFonts w:ascii="Arial" w:hAnsi="Arial" w:cs="Arial"/>
        </w:rPr>
        <w:t>pkt 2d</w:t>
      </w:r>
      <w:r>
        <w:rPr>
          <w:rFonts w:ascii="Arial" w:hAnsi="Arial" w:cs="Arial"/>
        </w:rPr>
        <w:t xml:space="preserve"> ustawy o świadczeniach – zgodnie z pr</w:t>
      </w:r>
      <w:r w:rsidR="005B6BAE">
        <w:rPr>
          <w:rFonts w:ascii="Arial" w:hAnsi="Arial" w:cs="Arial"/>
        </w:rPr>
        <w:t>ojektowanymi zmianami realizacja</w:t>
      </w:r>
      <w:r>
        <w:rPr>
          <w:rFonts w:ascii="Arial" w:hAnsi="Arial" w:cs="Arial"/>
        </w:rPr>
        <w:t xml:space="preserve"> umowy w w/w zakresie w części dotyczącej nabywania leków </w:t>
      </w:r>
      <w:r w:rsidR="005B6BAE">
        <w:rPr>
          <w:rFonts w:ascii="Arial" w:hAnsi="Arial" w:cs="Arial"/>
        </w:rPr>
        <w:t>może być realizowana</w:t>
      </w:r>
      <w:r w:rsidRPr="00BC5446">
        <w:rPr>
          <w:rFonts w:ascii="Arial" w:hAnsi="Arial" w:cs="Arial"/>
        </w:rPr>
        <w:t xml:space="preserve"> poprzez wspólny zakup leków nabywanych na podstawie udzielonych pełnomocnictw przez poszczegól</w:t>
      </w:r>
      <w:r w:rsidR="00BC5446">
        <w:rPr>
          <w:rFonts w:ascii="Arial" w:hAnsi="Arial" w:cs="Arial"/>
        </w:rPr>
        <w:t xml:space="preserve">nych świadczeniodawców na rzecz </w:t>
      </w:r>
      <w:r w:rsidR="004536FD">
        <w:rPr>
          <w:rFonts w:ascii="Arial" w:hAnsi="Arial" w:cs="Arial"/>
        </w:rPr>
        <w:t>podmiotu</w:t>
      </w:r>
      <w:r w:rsidR="00BC5446">
        <w:rPr>
          <w:rFonts w:ascii="Arial" w:hAnsi="Arial" w:cs="Arial"/>
        </w:rPr>
        <w:t>, któr</w:t>
      </w:r>
      <w:r w:rsidR="004536FD">
        <w:rPr>
          <w:rFonts w:ascii="Arial" w:hAnsi="Arial" w:cs="Arial"/>
        </w:rPr>
        <w:t>y</w:t>
      </w:r>
      <w:r w:rsidR="00BC5446">
        <w:rPr>
          <w:rFonts w:ascii="Arial" w:hAnsi="Arial" w:cs="Arial"/>
        </w:rPr>
        <w:t xml:space="preserve"> będzie </w:t>
      </w:r>
      <w:r w:rsidR="00BC5446">
        <w:rPr>
          <w:rFonts w:ascii="Arial" w:hAnsi="Arial" w:cs="Arial"/>
        </w:rPr>
        <w:lastRenderedPageBreak/>
        <w:t>wskazan</w:t>
      </w:r>
      <w:r w:rsidR="004536FD">
        <w:rPr>
          <w:rFonts w:ascii="Arial" w:hAnsi="Arial" w:cs="Arial"/>
        </w:rPr>
        <w:t>y</w:t>
      </w:r>
      <w:r w:rsidR="00BC5446">
        <w:rPr>
          <w:rFonts w:ascii="Arial" w:hAnsi="Arial" w:cs="Arial"/>
        </w:rPr>
        <w:t xml:space="preserve"> przez Prezesa NFZ do przeprowadzenia wspólne</w:t>
      </w:r>
      <w:r w:rsidR="00F644E8">
        <w:rPr>
          <w:rFonts w:ascii="Arial" w:hAnsi="Arial" w:cs="Arial"/>
        </w:rPr>
        <w:t>go postępowania przetargowego.</w:t>
      </w:r>
    </w:p>
    <w:p w:rsidR="00EE5FED" w:rsidRDefault="00F644E8" w:rsidP="00535FA3">
      <w:pPr>
        <w:pStyle w:val="Akapitzlist"/>
        <w:spacing w:line="360" w:lineRule="auto"/>
        <w:jc w:val="both"/>
        <w:rPr>
          <w:rFonts w:ascii="Arial" w:hAnsi="Arial" w:cs="Arial"/>
        </w:rPr>
      </w:pPr>
      <w:r>
        <w:rPr>
          <w:rFonts w:ascii="Arial" w:hAnsi="Arial" w:cs="Arial"/>
        </w:rPr>
        <w:t xml:space="preserve">Wprowadzone regulacje mają na celu </w:t>
      </w:r>
      <w:r w:rsidR="007536A8">
        <w:rPr>
          <w:rFonts w:ascii="Arial" w:hAnsi="Arial" w:cs="Arial"/>
        </w:rPr>
        <w:t xml:space="preserve">zracjonalizowanie wydatków płatnika publicznego w obszarze w którym występują duże dysproporcje pomiędzy cenami leków, których zastosowanie przynosi identyczny efekt zdrowotny. Planowane działania mają na celu realokację środków finansowych uzyskanych w wyniku przeprowadzonego postępowania na obszary terapeutyczne najbardziej tego wymagające. Należy </w:t>
      </w:r>
      <w:r w:rsidR="00466922">
        <w:rPr>
          <w:rFonts w:ascii="Arial" w:hAnsi="Arial" w:cs="Arial"/>
        </w:rPr>
        <w:t>przy tym uw</w:t>
      </w:r>
      <w:bookmarkStart w:id="0" w:name="_GoBack"/>
      <w:bookmarkEnd w:id="0"/>
      <w:r w:rsidR="004A45BE">
        <w:rPr>
          <w:rFonts w:ascii="Arial" w:hAnsi="Arial" w:cs="Arial"/>
        </w:rPr>
        <w:t xml:space="preserve">zględnić </w:t>
      </w:r>
      <w:r w:rsidR="007536A8">
        <w:rPr>
          <w:rFonts w:ascii="Arial" w:hAnsi="Arial" w:cs="Arial"/>
        </w:rPr>
        <w:t xml:space="preserve"> </w:t>
      </w:r>
      <w:r w:rsidR="004054C9">
        <w:rPr>
          <w:rFonts w:ascii="Arial" w:hAnsi="Arial" w:cs="Arial"/>
        </w:rPr>
        <w:t xml:space="preserve">znaczne </w:t>
      </w:r>
      <w:r w:rsidR="007536A8">
        <w:rPr>
          <w:rFonts w:ascii="Arial" w:hAnsi="Arial" w:cs="Arial"/>
        </w:rPr>
        <w:t>zmian</w:t>
      </w:r>
      <w:r w:rsidR="004054C9">
        <w:rPr>
          <w:rFonts w:ascii="Arial" w:hAnsi="Arial" w:cs="Arial"/>
        </w:rPr>
        <w:t>y,</w:t>
      </w:r>
      <w:r w:rsidR="007536A8">
        <w:rPr>
          <w:rFonts w:ascii="Arial" w:hAnsi="Arial" w:cs="Arial"/>
        </w:rPr>
        <w:t xml:space="preserve"> jakie zaszły w zakresie leków refundowanych w programach lekowych na przestrzeni ostatnich miesięcy</w:t>
      </w:r>
      <w:r w:rsidR="004A45BE">
        <w:rPr>
          <w:rFonts w:ascii="Arial" w:hAnsi="Arial" w:cs="Arial"/>
        </w:rPr>
        <w:t xml:space="preserve">. Stąd też </w:t>
      </w:r>
      <w:r w:rsidR="007536A8">
        <w:rPr>
          <w:rFonts w:ascii="Arial" w:hAnsi="Arial" w:cs="Arial"/>
        </w:rPr>
        <w:t xml:space="preserve">sprostanie </w:t>
      </w:r>
      <w:r w:rsidR="00535FA3">
        <w:rPr>
          <w:rFonts w:ascii="Arial" w:hAnsi="Arial" w:cs="Arial"/>
        </w:rPr>
        <w:t xml:space="preserve">wyzwaniom jakie płyną z udostępnienia szeregu innowacyjnych technologii lekowych wymaga podjęcia konkretnych działań. Mając na względzie powyższe, wychodząc naprzeciw potrzebom pacjentów oczekujących realnego dostępu do nowoczesnych technologii lekowych, płatnik publiczny podejmuje wyzwanie jakim jest przeprowadzenie </w:t>
      </w:r>
      <w:r w:rsidR="00535FA3" w:rsidRPr="00535FA3">
        <w:rPr>
          <w:rFonts w:ascii="Arial" w:hAnsi="Arial" w:cs="Arial"/>
        </w:rPr>
        <w:t>wspólnych postępowań na zakup leków</w:t>
      </w:r>
      <w:r w:rsidR="00EE5FED">
        <w:rPr>
          <w:rFonts w:ascii="Arial" w:hAnsi="Arial" w:cs="Arial"/>
        </w:rPr>
        <w:t>.</w:t>
      </w:r>
    </w:p>
    <w:p w:rsidR="00FA25A4" w:rsidRPr="00FA25A4" w:rsidRDefault="00EE5FED" w:rsidP="00FA25A4">
      <w:pPr>
        <w:spacing w:line="360" w:lineRule="auto"/>
        <w:ind w:left="708"/>
        <w:jc w:val="both"/>
        <w:rPr>
          <w:rFonts w:ascii="Arial" w:hAnsi="Arial" w:cs="Arial"/>
        </w:rPr>
      </w:pPr>
      <w:r w:rsidRPr="00FA25A4">
        <w:rPr>
          <w:rFonts w:ascii="Arial" w:hAnsi="Arial" w:cs="Arial"/>
        </w:rPr>
        <w:t>W wyniku tych działań większa liczba pacjentów uzyska dostęp do terapii</w:t>
      </w:r>
      <w:r w:rsidR="00FA25A4" w:rsidRPr="00FA25A4">
        <w:rPr>
          <w:rFonts w:ascii="Arial" w:hAnsi="Arial" w:cs="Arial"/>
        </w:rPr>
        <w:t xml:space="preserve">, </w:t>
      </w:r>
      <w:r w:rsidRPr="00FA25A4">
        <w:rPr>
          <w:rFonts w:ascii="Arial" w:hAnsi="Arial" w:cs="Arial"/>
        </w:rPr>
        <w:t xml:space="preserve">również </w:t>
      </w:r>
      <w:r w:rsidR="004054C9">
        <w:rPr>
          <w:rFonts w:ascii="Arial" w:hAnsi="Arial" w:cs="Arial"/>
        </w:rPr>
        <w:t xml:space="preserve">z wykorzystaniem </w:t>
      </w:r>
      <w:r w:rsidRPr="00FA25A4">
        <w:rPr>
          <w:rFonts w:ascii="Arial" w:hAnsi="Arial" w:cs="Arial"/>
        </w:rPr>
        <w:t>nowych</w:t>
      </w:r>
      <w:r w:rsidR="00FA25A4">
        <w:rPr>
          <w:rFonts w:ascii="Arial" w:hAnsi="Arial" w:cs="Arial"/>
        </w:rPr>
        <w:t>,</w:t>
      </w:r>
      <w:r w:rsidRPr="00FA25A4">
        <w:rPr>
          <w:rFonts w:ascii="Arial" w:hAnsi="Arial" w:cs="Arial"/>
        </w:rPr>
        <w:t xml:space="preserve"> </w:t>
      </w:r>
      <w:r w:rsidR="00FA25A4" w:rsidRPr="00FA25A4">
        <w:rPr>
          <w:rFonts w:ascii="Arial" w:hAnsi="Arial" w:cs="Arial"/>
        </w:rPr>
        <w:t>innowacyjnych leków</w:t>
      </w:r>
      <w:r w:rsidR="00FA25A4">
        <w:rPr>
          <w:rFonts w:ascii="Arial" w:hAnsi="Arial" w:cs="Arial"/>
        </w:rPr>
        <w:t>;</w:t>
      </w:r>
    </w:p>
    <w:p w:rsidR="000556CC" w:rsidRDefault="00BC5446" w:rsidP="00E817F0">
      <w:pPr>
        <w:pStyle w:val="Akapitzlist"/>
        <w:numPr>
          <w:ilvl w:val="0"/>
          <w:numId w:val="1"/>
        </w:numPr>
        <w:spacing w:line="360" w:lineRule="auto"/>
        <w:jc w:val="both"/>
        <w:rPr>
          <w:rFonts w:ascii="Arial" w:hAnsi="Arial" w:cs="Arial"/>
        </w:rPr>
      </w:pPr>
      <w:r>
        <w:rPr>
          <w:rFonts w:ascii="Arial" w:hAnsi="Arial" w:cs="Arial"/>
        </w:rPr>
        <w:t>zmianie zasad określania pro</w:t>
      </w:r>
      <w:r w:rsidR="00755D45">
        <w:rPr>
          <w:rFonts w:ascii="Arial" w:hAnsi="Arial" w:cs="Arial"/>
        </w:rPr>
        <w:t>gów</w:t>
      </w:r>
      <w:r>
        <w:rPr>
          <w:rFonts w:ascii="Arial" w:hAnsi="Arial" w:cs="Arial"/>
        </w:rPr>
        <w:t xml:space="preserve"> kosztow</w:t>
      </w:r>
      <w:r w:rsidR="00755D45">
        <w:rPr>
          <w:rFonts w:ascii="Arial" w:hAnsi="Arial" w:cs="Arial"/>
        </w:rPr>
        <w:t>ych dla wybranych substancji czynnych stosowanych w chemioterapii</w:t>
      </w:r>
      <w:r>
        <w:rPr>
          <w:rFonts w:ascii="Arial" w:hAnsi="Arial" w:cs="Arial"/>
        </w:rPr>
        <w:t xml:space="preserve"> uprawniając</w:t>
      </w:r>
      <w:r w:rsidR="00755D45">
        <w:rPr>
          <w:rFonts w:ascii="Arial" w:hAnsi="Arial" w:cs="Arial"/>
        </w:rPr>
        <w:t>ych</w:t>
      </w:r>
      <w:r>
        <w:rPr>
          <w:rFonts w:ascii="Arial" w:hAnsi="Arial" w:cs="Arial"/>
        </w:rPr>
        <w:t xml:space="preserve"> świadczeniodawców do korzystania ze współczynników korygujących – zmiany wprowadzone w tym obszarze stanowią ujednolicenie zasad określania progów kosztowych dla substancji czynnych stosowanych w prog</w:t>
      </w:r>
      <w:r w:rsidR="00755D45">
        <w:rPr>
          <w:rFonts w:ascii="Arial" w:hAnsi="Arial" w:cs="Arial"/>
        </w:rPr>
        <w:t>r</w:t>
      </w:r>
      <w:r w:rsidR="00A77172">
        <w:rPr>
          <w:rFonts w:ascii="Arial" w:hAnsi="Arial" w:cs="Arial"/>
        </w:rPr>
        <w:t>amach lekowych i chemioterapii - w</w:t>
      </w:r>
      <w:r w:rsidR="00A77172" w:rsidRPr="00AE4DC6">
        <w:rPr>
          <w:rFonts w:ascii="Arial" w:hAnsi="Arial" w:cs="Arial"/>
        </w:rPr>
        <w:t xml:space="preserve"> związku z</w:t>
      </w:r>
      <w:r w:rsidR="00A77172">
        <w:rPr>
          <w:rFonts w:ascii="Arial" w:hAnsi="Arial" w:cs="Arial"/>
        </w:rPr>
        <w:t xml:space="preserve"> analizą </w:t>
      </w:r>
      <w:r w:rsidR="00A77172" w:rsidRPr="00B31C3B">
        <w:rPr>
          <w:rFonts w:ascii="Arial" w:hAnsi="Arial" w:cs="Arial"/>
        </w:rPr>
        <w:t xml:space="preserve">średniego kosztu rozliczenia wybranych substancji czynnych stosowanych w </w:t>
      </w:r>
      <w:r w:rsidR="00944F12">
        <w:rPr>
          <w:rFonts w:ascii="Arial" w:hAnsi="Arial" w:cs="Arial"/>
        </w:rPr>
        <w:t>chemioterapii</w:t>
      </w:r>
      <w:r w:rsidR="00A77172">
        <w:rPr>
          <w:rFonts w:ascii="Arial" w:hAnsi="Arial" w:cs="Arial"/>
        </w:rPr>
        <w:t xml:space="preserve"> oraz cen osiąganych w postępowaniach o udzielenie zamówienia publicznego.</w:t>
      </w:r>
    </w:p>
    <w:p w:rsidR="000556CC" w:rsidRDefault="000556CC" w:rsidP="000556CC">
      <w:pPr>
        <w:spacing w:line="360" w:lineRule="auto"/>
        <w:jc w:val="both"/>
        <w:rPr>
          <w:rFonts w:ascii="Arial" w:hAnsi="Arial" w:cs="Arial"/>
        </w:rPr>
      </w:pPr>
    </w:p>
    <w:p w:rsidR="00DC4E3F" w:rsidRDefault="00FE0B2B" w:rsidP="00D92060">
      <w:pPr>
        <w:spacing w:line="360" w:lineRule="auto"/>
        <w:ind w:firstLine="567"/>
        <w:jc w:val="both"/>
        <w:rPr>
          <w:rFonts w:ascii="Arial" w:hAnsi="Arial" w:cs="Arial"/>
        </w:rPr>
      </w:pPr>
      <w:r w:rsidRPr="00EA4947">
        <w:rPr>
          <w:rFonts w:ascii="Arial" w:hAnsi="Arial" w:cs="Arial"/>
        </w:rPr>
        <w:t>Ponadto w związku opublikowanym obwiesz</w:t>
      </w:r>
      <w:r>
        <w:rPr>
          <w:rFonts w:ascii="Arial" w:hAnsi="Arial" w:cs="Arial"/>
        </w:rPr>
        <w:t xml:space="preserve">czeniem Ministra Zdrowia </w:t>
      </w:r>
      <w:r w:rsidRPr="00265A61">
        <w:rPr>
          <w:rFonts w:ascii="Arial" w:hAnsi="Arial" w:cs="Arial"/>
        </w:rPr>
        <w:t xml:space="preserve">z dnia </w:t>
      </w:r>
      <w:r>
        <w:rPr>
          <w:rFonts w:ascii="Arial" w:hAnsi="Arial" w:cs="Arial"/>
        </w:rPr>
        <w:t>18</w:t>
      </w:r>
      <w:r w:rsidRPr="00265A61">
        <w:rPr>
          <w:rFonts w:ascii="Arial" w:hAnsi="Arial" w:cs="Arial"/>
        </w:rPr>
        <w:t xml:space="preserve"> </w:t>
      </w:r>
      <w:r>
        <w:rPr>
          <w:rFonts w:ascii="Arial" w:hAnsi="Arial" w:cs="Arial"/>
        </w:rPr>
        <w:t xml:space="preserve">lutego </w:t>
      </w:r>
      <w:r w:rsidRPr="00265A61">
        <w:rPr>
          <w:rFonts w:ascii="Arial" w:hAnsi="Arial" w:cs="Arial"/>
        </w:rPr>
        <w:t>20</w:t>
      </w:r>
      <w:r>
        <w:rPr>
          <w:rFonts w:ascii="Arial" w:hAnsi="Arial" w:cs="Arial"/>
        </w:rPr>
        <w:t>20</w:t>
      </w:r>
      <w:r w:rsidRPr="00265A61">
        <w:rPr>
          <w:rFonts w:ascii="Arial" w:hAnsi="Arial" w:cs="Arial"/>
        </w:rPr>
        <w:t> r. w sprawie wykazu refundowanych leków, środków spożywczych specjalnego przeznaczenia żywieniowego oraz wyrobów medycznych na dzień 1 </w:t>
      </w:r>
      <w:r>
        <w:rPr>
          <w:rFonts w:ascii="Arial" w:hAnsi="Arial" w:cs="Arial"/>
        </w:rPr>
        <w:t>marca</w:t>
      </w:r>
      <w:r w:rsidRPr="00265A61">
        <w:rPr>
          <w:rFonts w:ascii="Arial" w:hAnsi="Arial" w:cs="Arial"/>
        </w:rPr>
        <w:t xml:space="preserve"> 2020 r. (Dz. Urz. Min. Zdr. poz.</w:t>
      </w:r>
      <w:r w:rsidR="004A45BE">
        <w:rPr>
          <w:rFonts w:ascii="Arial" w:hAnsi="Arial" w:cs="Arial"/>
        </w:rPr>
        <w:t xml:space="preserve"> </w:t>
      </w:r>
      <w:r w:rsidRPr="00265A61">
        <w:rPr>
          <w:rFonts w:ascii="Arial" w:hAnsi="Arial" w:cs="Arial"/>
        </w:rPr>
        <w:t>1</w:t>
      </w:r>
      <w:r>
        <w:rPr>
          <w:rFonts w:ascii="Arial" w:hAnsi="Arial" w:cs="Arial"/>
        </w:rPr>
        <w:t>1</w:t>
      </w:r>
      <w:r w:rsidRPr="00265A61">
        <w:rPr>
          <w:rFonts w:ascii="Arial" w:hAnsi="Arial" w:cs="Arial"/>
        </w:rPr>
        <w:t>)</w:t>
      </w:r>
      <w:r>
        <w:rPr>
          <w:rFonts w:ascii="Arial" w:hAnsi="Arial" w:cs="Arial"/>
        </w:rPr>
        <w:t xml:space="preserve">, </w:t>
      </w:r>
      <w:r w:rsidRPr="00EA4947">
        <w:rPr>
          <w:rFonts w:ascii="Arial" w:hAnsi="Arial" w:cs="Arial"/>
        </w:rPr>
        <w:t xml:space="preserve">wydanym na podstawie art. 37 ust. 1 ustawy z dnia 12 maja 2011 r. o refundacji leków, środków spożywczych specjalnego przeznaczenia żywieniowego oraz wyrobów medycznych (Dz. U. z 2019 r. poz. 784, z późn. zm.), został zaktualizowany załącznik nr 1n do zarządzenia, określający Katalog leków refundowanych stosowanych w chemioterapii, celem dostosowania </w:t>
      </w:r>
      <w:r w:rsidRPr="00EA4947">
        <w:rPr>
          <w:rFonts w:ascii="Arial" w:hAnsi="Arial" w:cs="Arial"/>
        </w:rPr>
        <w:lastRenderedPageBreak/>
        <w:t>przepisów zarządzenia do aktualnego stanu faktycznego w zakresie refundacji leków stosowanych w chemioterapii.</w:t>
      </w:r>
      <w:r w:rsidR="00DC4E3F">
        <w:rPr>
          <w:rFonts w:ascii="Arial" w:hAnsi="Arial" w:cs="Arial"/>
        </w:rPr>
        <w:t xml:space="preserve"> </w:t>
      </w:r>
    </w:p>
    <w:p w:rsidR="00D92060" w:rsidRPr="007E1884" w:rsidRDefault="00D92060" w:rsidP="00D92060">
      <w:pPr>
        <w:spacing w:line="360" w:lineRule="auto"/>
        <w:ind w:firstLine="567"/>
        <w:jc w:val="both"/>
        <w:rPr>
          <w:rFonts w:ascii="Arial" w:hAnsi="Arial" w:cs="Arial"/>
        </w:rPr>
      </w:pPr>
      <w:r w:rsidRPr="00EA4947">
        <w:rPr>
          <w:rFonts w:ascii="Arial" w:hAnsi="Arial" w:cs="Arial"/>
        </w:rPr>
        <w:t>Zmiany w zakresie załącznika nr 1n do zarządzenia, określającego Katalog leków refundowanych stos</w:t>
      </w:r>
      <w:r>
        <w:rPr>
          <w:rFonts w:ascii="Arial" w:hAnsi="Arial" w:cs="Arial"/>
        </w:rPr>
        <w:t xml:space="preserve">owanych w chemioterapii dotyczą </w:t>
      </w:r>
      <w:r w:rsidRPr="00BA1399">
        <w:rPr>
          <w:rFonts w:ascii="Arial" w:hAnsi="Arial" w:cs="Arial"/>
        </w:rPr>
        <w:t xml:space="preserve">części A - leki </w:t>
      </w:r>
      <w:r w:rsidRPr="007E1884">
        <w:rPr>
          <w:rFonts w:ascii="Arial" w:hAnsi="Arial" w:cs="Arial"/>
        </w:rPr>
        <w:t>podstawowe i polegają na:</w:t>
      </w:r>
    </w:p>
    <w:p w:rsidR="00D92060" w:rsidRPr="007E1884" w:rsidRDefault="00D92060" w:rsidP="00E817F0">
      <w:pPr>
        <w:pStyle w:val="Akapitzlist"/>
        <w:numPr>
          <w:ilvl w:val="0"/>
          <w:numId w:val="3"/>
        </w:numPr>
        <w:spacing w:line="360" w:lineRule="auto"/>
        <w:jc w:val="both"/>
        <w:rPr>
          <w:rFonts w:ascii="Arial" w:hAnsi="Arial" w:cs="Arial"/>
        </w:rPr>
      </w:pPr>
      <w:r w:rsidRPr="007E1884">
        <w:rPr>
          <w:rFonts w:ascii="Arial" w:hAnsi="Arial" w:cs="Arial"/>
        </w:rPr>
        <w:t xml:space="preserve">Zmianie nazwa leku dla GTIN 05909990983018 na </w:t>
      </w:r>
      <w:r w:rsidRPr="007E1884">
        <w:rPr>
          <w:rFonts w:ascii="Arial" w:hAnsi="Arial" w:cs="Arial"/>
          <w:i/>
        </w:rPr>
        <w:t>„</w:t>
      </w:r>
      <w:proofErr w:type="spellStart"/>
      <w:r w:rsidRPr="007E1884">
        <w:rPr>
          <w:rFonts w:ascii="Arial" w:hAnsi="Arial" w:cs="Arial"/>
          <w:i/>
        </w:rPr>
        <w:t>Caelyx</w:t>
      </w:r>
      <w:proofErr w:type="spellEnd"/>
      <w:r w:rsidRPr="007E1884">
        <w:rPr>
          <w:rFonts w:ascii="Arial" w:hAnsi="Arial" w:cs="Arial"/>
          <w:i/>
        </w:rPr>
        <w:t xml:space="preserve"> / </w:t>
      </w:r>
      <w:proofErr w:type="spellStart"/>
      <w:r w:rsidRPr="007E1884">
        <w:rPr>
          <w:rFonts w:ascii="Arial" w:hAnsi="Arial" w:cs="Arial"/>
          <w:i/>
        </w:rPr>
        <w:t>Caelyx</w:t>
      </w:r>
      <w:proofErr w:type="spellEnd"/>
      <w:r w:rsidRPr="007E1884">
        <w:rPr>
          <w:rFonts w:ascii="Arial" w:hAnsi="Arial" w:cs="Arial"/>
          <w:i/>
        </w:rPr>
        <w:t xml:space="preserve"> </w:t>
      </w:r>
      <w:proofErr w:type="spellStart"/>
      <w:r w:rsidRPr="007E1884">
        <w:rPr>
          <w:rFonts w:ascii="Arial" w:hAnsi="Arial" w:cs="Arial"/>
          <w:i/>
        </w:rPr>
        <w:t>pegylated</w:t>
      </w:r>
      <w:proofErr w:type="spellEnd"/>
      <w:r w:rsidRPr="007E1884">
        <w:rPr>
          <w:rFonts w:ascii="Arial" w:hAnsi="Arial" w:cs="Arial"/>
          <w:i/>
        </w:rPr>
        <w:t xml:space="preserve"> liposomal, koncentrat do sporządzania roztworu do infuzji, 2 mg/ml”</w:t>
      </w:r>
    </w:p>
    <w:p w:rsidR="00D92060" w:rsidRPr="007E1884" w:rsidRDefault="00D92060" w:rsidP="00E817F0">
      <w:pPr>
        <w:pStyle w:val="Akapitzlist"/>
        <w:numPr>
          <w:ilvl w:val="0"/>
          <w:numId w:val="3"/>
        </w:numPr>
        <w:spacing w:line="360" w:lineRule="auto"/>
        <w:jc w:val="both"/>
        <w:rPr>
          <w:rFonts w:ascii="Arial" w:hAnsi="Arial" w:cs="Arial"/>
        </w:rPr>
      </w:pPr>
      <w:r w:rsidRPr="007E1884">
        <w:rPr>
          <w:rFonts w:ascii="Arial" w:hAnsi="Arial" w:cs="Arial"/>
        </w:rPr>
        <w:t>dodaniu kodu GTIN dla substancji czynnej:</w:t>
      </w:r>
    </w:p>
    <w:p w:rsidR="00D92060" w:rsidRPr="007E1884" w:rsidRDefault="00D92060" w:rsidP="00E817F0">
      <w:pPr>
        <w:pStyle w:val="Akapitzlist"/>
        <w:numPr>
          <w:ilvl w:val="0"/>
          <w:numId w:val="2"/>
        </w:numPr>
        <w:spacing w:after="200" w:line="360" w:lineRule="auto"/>
        <w:ind w:left="1418" w:hanging="425"/>
        <w:jc w:val="both"/>
        <w:rPr>
          <w:rFonts w:ascii="Arial" w:hAnsi="Arial" w:cs="Arial"/>
        </w:rPr>
      </w:pPr>
      <w:r w:rsidRPr="007E1884">
        <w:rPr>
          <w:rFonts w:ascii="Arial" w:hAnsi="Arial" w:cs="Arial"/>
        </w:rPr>
        <w:t xml:space="preserve">5.08.10.0000053 - </w:t>
      </w:r>
      <w:proofErr w:type="spellStart"/>
      <w:r w:rsidRPr="007E1884">
        <w:rPr>
          <w:rFonts w:ascii="Arial" w:hAnsi="Arial" w:cs="Arial"/>
        </w:rPr>
        <w:t>Pemetreksedum</w:t>
      </w:r>
      <w:proofErr w:type="spellEnd"/>
      <w:r w:rsidRPr="007E1884">
        <w:rPr>
          <w:rFonts w:ascii="Arial" w:hAnsi="Arial" w:cs="Arial"/>
        </w:rPr>
        <w:t xml:space="preserve">  - GTIN: 05909991289362, 05909991289379,</w:t>
      </w:r>
    </w:p>
    <w:p w:rsidR="00D92060" w:rsidRPr="007E1884" w:rsidRDefault="00D92060" w:rsidP="00E817F0">
      <w:pPr>
        <w:pStyle w:val="Akapitzlist"/>
        <w:numPr>
          <w:ilvl w:val="0"/>
          <w:numId w:val="2"/>
        </w:numPr>
        <w:spacing w:after="200" w:line="360" w:lineRule="auto"/>
        <w:ind w:left="1418" w:hanging="425"/>
        <w:jc w:val="both"/>
        <w:rPr>
          <w:rFonts w:ascii="Arial" w:hAnsi="Arial" w:cs="Arial"/>
        </w:rPr>
      </w:pPr>
      <w:r w:rsidRPr="007E1884">
        <w:rPr>
          <w:rFonts w:ascii="Arial" w:hAnsi="Arial" w:cs="Arial"/>
        </w:rPr>
        <w:t>5.08.10.0000081 – Posaconazolum – GTIN: 05901797710743, 07613421033408</w:t>
      </w:r>
    </w:p>
    <w:p w:rsidR="00D92060" w:rsidRPr="007E1884" w:rsidRDefault="00D92060" w:rsidP="00E817F0">
      <w:pPr>
        <w:pStyle w:val="Akapitzlist"/>
        <w:numPr>
          <w:ilvl w:val="0"/>
          <w:numId w:val="2"/>
        </w:numPr>
        <w:spacing w:after="200" w:line="360" w:lineRule="auto"/>
        <w:ind w:left="1418" w:hanging="425"/>
        <w:jc w:val="both"/>
        <w:rPr>
          <w:rFonts w:ascii="Arial" w:hAnsi="Arial" w:cs="Arial"/>
        </w:rPr>
      </w:pPr>
      <w:r w:rsidRPr="007E1884">
        <w:rPr>
          <w:rFonts w:ascii="Arial" w:hAnsi="Arial" w:cs="Arial"/>
        </w:rPr>
        <w:t xml:space="preserve">5.08.10.0000085 – </w:t>
      </w:r>
      <w:proofErr w:type="spellStart"/>
      <w:r w:rsidRPr="007E1884">
        <w:rPr>
          <w:rFonts w:ascii="Arial" w:hAnsi="Arial" w:cs="Arial"/>
        </w:rPr>
        <w:t>Bortezomibum</w:t>
      </w:r>
      <w:proofErr w:type="spellEnd"/>
      <w:r w:rsidRPr="007E1884">
        <w:rPr>
          <w:rFonts w:ascii="Arial" w:hAnsi="Arial" w:cs="Arial"/>
        </w:rPr>
        <w:t xml:space="preserve"> – GTIN: 05900411003193,</w:t>
      </w:r>
    </w:p>
    <w:p w:rsidR="00D92060" w:rsidRPr="007E1884" w:rsidRDefault="00D92060" w:rsidP="00E817F0">
      <w:pPr>
        <w:pStyle w:val="Akapitzlist"/>
        <w:numPr>
          <w:ilvl w:val="0"/>
          <w:numId w:val="3"/>
        </w:numPr>
        <w:spacing w:line="360" w:lineRule="auto"/>
        <w:jc w:val="both"/>
        <w:rPr>
          <w:rFonts w:ascii="Arial" w:hAnsi="Arial" w:cs="Arial"/>
        </w:rPr>
      </w:pPr>
      <w:r w:rsidRPr="007E1884">
        <w:rPr>
          <w:rFonts w:ascii="Arial" w:hAnsi="Arial" w:cs="Arial"/>
        </w:rPr>
        <w:t>usunięciu substancji czynnej i kodu GTIN dla:</w:t>
      </w:r>
    </w:p>
    <w:p w:rsidR="00D92060" w:rsidRPr="007E1884" w:rsidRDefault="00D92060" w:rsidP="00E817F0">
      <w:pPr>
        <w:pStyle w:val="Akapitzlist"/>
        <w:numPr>
          <w:ilvl w:val="0"/>
          <w:numId w:val="5"/>
        </w:numPr>
        <w:spacing w:after="200" w:line="360" w:lineRule="auto"/>
        <w:jc w:val="both"/>
        <w:rPr>
          <w:rFonts w:ascii="Arial" w:hAnsi="Arial" w:cs="Arial"/>
        </w:rPr>
      </w:pPr>
      <w:r w:rsidRPr="007E1884">
        <w:rPr>
          <w:rFonts w:ascii="Arial" w:hAnsi="Arial" w:cs="Arial"/>
        </w:rPr>
        <w:t xml:space="preserve">5.08.10.0000057 – </w:t>
      </w:r>
      <w:proofErr w:type="spellStart"/>
      <w:r w:rsidRPr="007E1884">
        <w:rPr>
          <w:rFonts w:ascii="Arial" w:hAnsi="Arial" w:cs="Arial"/>
        </w:rPr>
        <w:t>Thiotepa</w:t>
      </w:r>
      <w:proofErr w:type="spellEnd"/>
      <w:r w:rsidRPr="007E1884">
        <w:rPr>
          <w:rFonts w:ascii="Arial" w:hAnsi="Arial" w:cs="Arial"/>
        </w:rPr>
        <w:t xml:space="preserve"> - GTIN: 05909990893546, 05909990893553,</w:t>
      </w:r>
    </w:p>
    <w:p w:rsidR="00D92060" w:rsidRPr="007E1884" w:rsidRDefault="00D92060" w:rsidP="00E817F0">
      <w:pPr>
        <w:pStyle w:val="Akapitzlist"/>
        <w:numPr>
          <w:ilvl w:val="0"/>
          <w:numId w:val="5"/>
        </w:numPr>
        <w:spacing w:after="200" w:line="360" w:lineRule="auto"/>
        <w:jc w:val="both"/>
        <w:rPr>
          <w:rFonts w:ascii="Arial" w:hAnsi="Arial" w:cs="Arial"/>
        </w:rPr>
      </w:pPr>
      <w:r w:rsidRPr="007E1884">
        <w:rPr>
          <w:rFonts w:ascii="Arial" w:hAnsi="Arial" w:cs="Arial"/>
        </w:rPr>
        <w:t xml:space="preserve">5.08.10.0000083 – </w:t>
      </w:r>
      <w:proofErr w:type="spellStart"/>
      <w:r w:rsidRPr="007E1884">
        <w:rPr>
          <w:rFonts w:ascii="Arial" w:hAnsi="Arial" w:cs="Arial"/>
        </w:rPr>
        <w:t>Leuprorelinum</w:t>
      </w:r>
      <w:proofErr w:type="spellEnd"/>
      <w:r w:rsidRPr="007E1884">
        <w:rPr>
          <w:rFonts w:ascii="Arial" w:hAnsi="Arial" w:cs="Arial"/>
        </w:rPr>
        <w:t xml:space="preserve"> - GTIN:</w:t>
      </w:r>
      <w:r w:rsidRPr="007E1884">
        <w:t xml:space="preserve"> </w:t>
      </w:r>
      <w:r w:rsidRPr="007E1884">
        <w:rPr>
          <w:rFonts w:ascii="Arial" w:hAnsi="Arial" w:cs="Arial"/>
        </w:rPr>
        <w:t>05909990686117,</w:t>
      </w:r>
    </w:p>
    <w:p w:rsidR="00D92060" w:rsidRPr="007E1884" w:rsidRDefault="00D92060" w:rsidP="00E817F0">
      <w:pPr>
        <w:pStyle w:val="Akapitzlist"/>
        <w:numPr>
          <w:ilvl w:val="0"/>
          <w:numId w:val="3"/>
        </w:numPr>
        <w:spacing w:line="360" w:lineRule="auto"/>
        <w:jc w:val="both"/>
        <w:rPr>
          <w:rFonts w:ascii="Arial" w:hAnsi="Arial" w:cs="Arial"/>
        </w:rPr>
      </w:pPr>
      <w:r w:rsidRPr="007E1884">
        <w:rPr>
          <w:rFonts w:ascii="Arial" w:hAnsi="Arial" w:cs="Arial"/>
        </w:rPr>
        <w:t>usunięciu kodu GTIN dla substancji czynnej:</w:t>
      </w:r>
    </w:p>
    <w:p w:rsidR="00D92060" w:rsidRPr="007E1884" w:rsidRDefault="00D92060" w:rsidP="00E817F0">
      <w:pPr>
        <w:pStyle w:val="Akapitzlist"/>
        <w:numPr>
          <w:ilvl w:val="0"/>
          <w:numId w:val="4"/>
        </w:numPr>
        <w:spacing w:after="200" w:line="360" w:lineRule="auto"/>
        <w:ind w:firstLine="273"/>
        <w:jc w:val="both"/>
        <w:rPr>
          <w:rFonts w:ascii="Arial" w:hAnsi="Arial" w:cs="Arial"/>
        </w:rPr>
      </w:pPr>
      <w:r w:rsidRPr="007E1884">
        <w:rPr>
          <w:rFonts w:ascii="Arial" w:hAnsi="Arial" w:cs="Arial"/>
        </w:rPr>
        <w:t xml:space="preserve">5.08.10.0000024 – </w:t>
      </w:r>
      <w:proofErr w:type="spellStart"/>
      <w:r w:rsidRPr="007E1884">
        <w:rPr>
          <w:rFonts w:ascii="Arial" w:hAnsi="Arial" w:cs="Arial"/>
        </w:rPr>
        <w:t>Etoposidum</w:t>
      </w:r>
      <w:proofErr w:type="spellEnd"/>
      <w:r w:rsidRPr="007E1884">
        <w:rPr>
          <w:rFonts w:ascii="Arial" w:hAnsi="Arial" w:cs="Arial"/>
        </w:rPr>
        <w:t xml:space="preserve"> - GTIN:</w:t>
      </w:r>
      <w:r w:rsidRPr="007E1884">
        <w:t xml:space="preserve"> </w:t>
      </w:r>
      <w:r w:rsidRPr="007E1884">
        <w:rPr>
          <w:rFonts w:ascii="Arial" w:hAnsi="Arial" w:cs="Arial"/>
        </w:rPr>
        <w:t>05909991198138,</w:t>
      </w:r>
    </w:p>
    <w:p w:rsidR="00D92060" w:rsidRPr="007E1884" w:rsidRDefault="00D92060" w:rsidP="00E817F0">
      <w:pPr>
        <w:pStyle w:val="Akapitzlist"/>
        <w:numPr>
          <w:ilvl w:val="0"/>
          <w:numId w:val="4"/>
        </w:numPr>
        <w:spacing w:before="120" w:after="200" w:line="360" w:lineRule="auto"/>
        <w:ind w:firstLine="273"/>
        <w:jc w:val="both"/>
        <w:rPr>
          <w:rFonts w:ascii="Arial" w:hAnsi="Arial" w:cs="Arial"/>
        </w:rPr>
      </w:pPr>
      <w:r w:rsidRPr="007E1884">
        <w:rPr>
          <w:rFonts w:ascii="Arial" w:hAnsi="Arial" w:cs="Arial"/>
        </w:rPr>
        <w:t xml:space="preserve">5.08.10.0000087 - </w:t>
      </w:r>
      <w:proofErr w:type="spellStart"/>
      <w:r w:rsidRPr="007E1884">
        <w:rPr>
          <w:rFonts w:ascii="Arial" w:hAnsi="Arial" w:cs="Arial"/>
        </w:rPr>
        <w:t>Voriconazolum</w:t>
      </w:r>
      <w:proofErr w:type="spellEnd"/>
      <w:r w:rsidRPr="007E1884">
        <w:rPr>
          <w:rFonts w:ascii="Arial" w:hAnsi="Arial" w:cs="Arial"/>
        </w:rPr>
        <w:t xml:space="preserve">  - GTIN: 05909991095826,</w:t>
      </w:r>
    </w:p>
    <w:p w:rsidR="00D92060" w:rsidRDefault="00D92060" w:rsidP="00D92060">
      <w:pPr>
        <w:spacing w:before="120" w:line="360" w:lineRule="auto"/>
        <w:jc w:val="both"/>
        <w:rPr>
          <w:rFonts w:ascii="Arial" w:hAnsi="Arial" w:cs="Arial"/>
        </w:rPr>
      </w:pPr>
      <w:r w:rsidRPr="007E1884">
        <w:rPr>
          <w:rFonts w:ascii="Arial" w:hAnsi="Arial" w:cs="Arial"/>
        </w:rPr>
        <w:t>- zgodnie ze zmianami wprowadzonymi w obwieszczeniu refundacyjnym.</w:t>
      </w:r>
    </w:p>
    <w:p w:rsidR="002E65A3" w:rsidRPr="007E1884" w:rsidRDefault="002E65A3" w:rsidP="00D92060">
      <w:pPr>
        <w:spacing w:before="120" w:line="360" w:lineRule="auto"/>
        <w:jc w:val="both"/>
        <w:rPr>
          <w:rFonts w:ascii="Arial" w:hAnsi="Arial" w:cs="Arial"/>
        </w:rPr>
      </w:pPr>
      <w:r>
        <w:rPr>
          <w:rFonts w:ascii="Arial" w:hAnsi="Arial" w:cs="Arial"/>
        </w:rPr>
        <w:t xml:space="preserve">Substancja czynna </w:t>
      </w:r>
      <w:r w:rsidRPr="007E1884">
        <w:rPr>
          <w:rFonts w:ascii="Arial" w:hAnsi="Arial" w:cs="Arial"/>
        </w:rPr>
        <w:t xml:space="preserve">5.08.10.0000081 – </w:t>
      </w:r>
      <w:proofErr w:type="spellStart"/>
      <w:r w:rsidRPr="007E1884">
        <w:rPr>
          <w:rFonts w:ascii="Arial" w:hAnsi="Arial" w:cs="Arial"/>
        </w:rPr>
        <w:t>Posaconazolum</w:t>
      </w:r>
      <w:proofErr w:type="spellEnd"/>
      <w:r w:rsidRPr="00F16898">
        <w:rPr>
          <w:rFonts w:ascii="Arial" w:hAnsi="Arial" w:cs="Arial"/>
        </w:rPr>
        <w:t xml:space="preserve"> </w:t>
      </w:r>
      <w:r w:rsidR="000E67AB">
        <w:rPr>
          <w:rFonts w:ascii="Arial" w:hAnsi="Arial" w:cs="Arial"/>
        </w:rPr>
        <w:t xml:space="preserve">została dodana </w:t>
      </w:r>
      <w:r w:rsidRPr="00F16898">
        <w:rPr>
          <w:rFonts w:ascii="Arial" w:hAnsi="Arial" w:cs="Arial"/>
        </w:rPr>
        <w:t>do wykazu substancji czynnych, których średni koszt rozliczenia podlega monitorowaniu zgodnie z § 28 zarządzenia</w:t>
      </w:r>
      <w:r>
        <w:rPr>
          <w:rFonts w:ascii="Arial" w:hAnsi="Arial" w:cs="Arial"/>
        </w:rPr>
        <w:t>.</w:t>
      </w:r>
    </w:p>
    <w:p w:rsidR="00D92060" w:rsidRDefault="00D92060" w:rsidP="000556CC">
      <w:pPr>
        <w:spacing w:line="360" w:lineRule="auto"/>
        <w:jc w:val="both"/>
        <w:rPr>
          <w:rFonts w:ascii="Arial" w:hAnsi="Arial" w:cs="Arial"/>
        </w:rPr>
      </w:pPr>
    </w:p>
    <w:p w:rsidR="005B6BAE" w:rsidRDefault="000556CC" w:rsidP="009B54ED">
      <w:pPr>
        <w:spacing w:line="360" w:lineRule="auto"/>
        <w:ind w:firstLine="567"/>
        <w:jc w:val="both"/>
        <w:rPr>
          <w:rFonts w:ascii="Arial" w:hAnsi="Arial" w:cs="Arial"/>
        </w:rPr>
      </w:pPr>
      <w:r w:rsidRPr="000556CC">
        <w:rPr>
          <w:rFonts w:ascii="Arial" w:hAnsi="Arial" w:cs="Arial"/>
        </w:rPr>
        <w:t xml:space="preserve">Projektowane zmiany wpisują się w kluczowe </w:t>
      </w:r>
      <w:r w:rsidR="005B6BAE">
        <w:rPr>
          <w:rFonts w:ascii="Arial" w:hAnsi="Arial" w:cs="Arial"/>
        </w:rPr>
        <w:t xml:space="preserve">dla </w:t>
      </w:r>
      <w:r w:rsidR="005B6BAE" w:rsidRPr="000556CC">
        <w:rPr>
          <w:rFonts w:ascii="Arial" w:hAnsi="Arial" w:cs="Arial"/>
        </w:rPr>
        <w:t>Narodowego Funduszu Zdrowia</w:t>
      </w:r>
      <w:r w:rsidR="005B6BAE">
        <w:rPr>
          <w:rFonts w:ascii="Arial" w:hAnsi="Arial" w:cs="Arial"/>
        </w:rPr>
        <w:t xml:space="preserve"> </w:t>
      </w:r>
      <w:r w:rsidRPr="000556CC">
        <w:rPr>
          <w:rFonts w:ascii="Arial" w:hAnsi="Arial" w:cs="Arial"/>
        </w:rPr>
        <w:t>cele określone w Strategii na lata 2019-2023 jak</w:t>
      </w:r>
      <w:r w:rsidR="005243BB">
        <w:rPr>
          <w:rFonts w:ascii="Arial" w:hAnsi="Arial" w:cs="Arial"/>
        </w:rPr>
        <w:t>:</w:t>
      </w:r>
      <w:r w:rsidRPr="000556CC">
        <w:rPr>
          <w:rFonts w:ascii="Arial" w:hAnsi="Arial" w:cs="Arial"/>
        </w:rPr>
        <w:t xml:space="preserve"> </w:t>
      </w:r>
      <w:r w:rsidR="005243BB">
        <w:rPr>
          <w:rFonts w:ascii="Arial" w:hAnsi="Arial" w:cs="Arial"/>
        </w:rPr>
        <w:t xml:space="preserve">(cel 2) </w:t>
      </w:r>
      <w:r w:rsidRPr="000556CC">
        <w:rPr>
          <w:rFonts w:ascii="Arial" w:hAnsi="Arial" w:cs="Arial"/>
        </w:rPr>
        <w:t>poprawa jakości i</w:t>
      </w:r>
      <w:r w:rsidR="003D3B21">
        <w:rPr>
          <w:rFonts w:ascii="Arial" w:hAnsi="Arial" w:cs="Arial"/>
        </w:rPr>
        <w:t> </w:t>
      </w:r>
      <w:r w:rsidRPr="000556CC">
        <w:rPr>
          <w:rFonts w:ascii="Arial" w:hAnsi="Arial" w:cs="Arial"/>
        </w:rPr>
        <w:t>dostępności świadczeń opieki zdrowotnej</w:t>
      </w:r>
      <w:r w:rsidR="005243BB">
        <w:rPr>
          <w:rFonts w:ascii="Arial" w:hAnsi="Arial" w:cs="Arial"/>
        </w:rPr>
        <w:t xml:space="preserve"> oraz (cel 5) p</w:t>
      </w:r>
      <w:r w:rsidR="005243BB" w:rsidRPr="005243BB">
        <w:rPr>
          <w:rFonts w:ascii="Arial" w:hAnsi="Arial" w:cs="Arial"/>
        </w:rPr>
        <w:t>oprawa efektywności wydatkowania środków publicznych na świadczenia opieki zdrowotnej</w:t>
      </w:r>
      <w:r w:rsidR="005243BB">
        <w:rPr>
          <w:rFonts w:ascii="Arial" w:hAnsi="Arial" w:cs="Arial"/>
        </w:rPr>
        <w:t>, a także w misję Funduszu</w:t>
      </w:r>
      <w:r w:rsidR="004054C9">
        <w:rPr>
          <w:rFonts w:ascii="Arial" w:hAnsi="Arial" w:cs="Arial"/>
        </w:rPr>
        <w:t>, zgodnie z którą</w:t>
      </w:r>
      <w:r w:rsidR="005243BB">
        <w:rPr>
          <w:rFonts w:ascii="Arial" w:hAnsi="Arial" w:cs="Arial"/>
        </w:rPr>
        <w:t xml:space="preserve"> „</w:t>
      </w:r>
      <w:r w:rsidR="005243BB" w:rsidRPr="005243BB">
        <w:rPr>
          <w:rFonts w:ascii="Arial" w:hAnsi="Arial" w:cs="Arial"/>
        </w:rPr>
        <w:t xml:space="preserve">Działając w imieniu i na rzecz Pacjentów, Narodowy Fundusz Zdrowia wspólnie ze Świadczeniodawcami dba o zdrowie obywateli zarówno poprzez działania profilaktyczne, jak też należytą jakość i </w:t>
      </w:r>
      <w:r w:rsidR="005243BB" w:rsidRPr="005243BB">
        <w:rPr>
          <w:rFonts w:ascii="Arial" w:hAnsi="Arial" w:cs="Arial"/>
        </w:rPr>
        <w:lastRenderedPageBreak/>
        <w:t>dostępność świadczeń opieki zdrowotnej oraz efektywne gospodarowanie środkami publicznymi”</w:t>
      </w:r>
      <w:r w:rsidR="005243BB">
        <w:rPr>
          <w:rFonts w:ascii="Arial" w:hAnsi="Arial" w:cs="Arial"/>
        </w:rPr>
        <w:t xml:space="preserve">. </w:t>
      </w:r>
    </w:p>
    <w:p w:rsidR="00C214D9" w:rsidRPr="003D66FC" w:rsidRDefault="00535E22" w:rsidP="00C214D9">
      <w:pPr>
        <w:spacing w:before="240" w:line="360" w:lineRule="auto"/>
        <w:ind w:firstLine="567"/>
        <w:jc w:val="both"/>
        <w:rPr>
          <w:rFonts w:ascii="Arial" w:hAnsi="Arial" w:cs="Arial"/>
        </w:rPr>
      </w:pPr>
      <w:r w:rsidRPr="00BB18FF">
        <w:rPr>
          <w:rFonts w:ascii="Arial" w:hAnsi="Arial" w:cs="Arial"/>
        </w:rPr>
        <w:t xml:space="preserve">Oznaczenie momentu </w:t>
      </w:r>
      <w:r w:rsidR="00333945">
        <w:rPr>
          <w:rFonts w:ascii="Arial" w:hAnsi="Arial" w:cs="Arial"/>
        </w:rPr>
        <w:t>stosowania</w:t>
      </w:r>
      <w:r w:rsidR="00524791" w:rsidRPr="00BB18FF">
        <w:rPr>
          <w:rFonts w:ascii="Arial" w:hAnsi="Arial" w:cs="Arial"/>
        </w:rPr>
        <w:t xml:space="preserve"> przedmiotowego aktu prawnego </w:t>
      </w:r>
      <w:r w:rsidRPr="00BB18FF">
        <w:rPr>
          <w:rFonts w:ascii="Arial" w:hAnsi="Arial" w:cs="Arial"/>
        </w:rPr>
        <w:t xml:space="preserve">w sposób wskazany w § </w:t>
      </w:r>
      <w:r w:rsidR="006A6592" w:rsidRPr="00BB18FF">
        <w:rPr>
          <w:rFonts w:ascii="Arial" w:hAnsi="Arial" w:cs="Arial"/>
        </w:rPr>
        <w:t>4</w:t>
      </w:r>
      <w:r w:rsidRPr="00BB18FF">
        <w:rPr>
          <w:rFonts w:ascii="Arial" w:hAnsi="Arial" w:cs="Arial"/>
        </w:rPr>
        <w:t xml:space="preserve"> zarządzenia wynika z konieczności zapewnienia ciągłości stosowania przepisów w przedmiotowym zakresie</w:t>
      </w:r>
      <w:r w:rsidR="003D1DE9">
        <w:rPr>
          <w:rFonts w:ascii="Arial" w:hAnsi="Arial" w:cs="Arial"/>
        </w:rPr>
        <w:t>.</w:t>
      </w:r>
    </w:p>
    <w:p w:rsidR="00CE17CD" w:rsidRPr="00780896" w:rsidRDefault="00CE17CD" w:rsidP="00CE17CD">
      <w:pPr>
        <w:pStyle w:val="Akapitzlist"/>
        <w:spacing w:line="360" w:lineRule="auto"/>
        <w:ind w:left="0" w:firstLine="567"/>
        <w:jc w:val="both"/>
        <w:rPr>
          <w:rFonts w:ascii="Arial" w:hAnsi="Arial" w:cs="Arial"/>
        </w:rPr>
      </w:pPr>
      <w:r w:rsidRPr="008C38BA">
        <w:rPr>
          <w:rFonts w:ascii="Arial" w:hAnsi="Arial" w:cs="Arial"/>
        </w:rPr>
        <w:t xml:space="preserve">Zarządzenie wchodzi w życie z dniem </w:t>
      </w:r>
      <w:r w:rsidR="0098025C">
        <w:rPr>
          <w:rFonts w:ascii="Arial" w:hAnsi="Arial" w:cs="Arial"/>
        </w:rPr>
        <w:t xml:space="preserve"> 1 marca 2020 r. </w:t>
      </w:r>
    </w:p>
    <w:p w:rsidR="004D6EA7" w:rsidRDefault="00AA4A66" w:rsidP="00206F53">
      <w:pPr>
        <w:spacing w:before="240" w:after="240" w:line="360" w:lineRule="auto"/>
        <w:ind w:firstLine="567"/>
        <w:jc w:val="both"/>
        <w:rPr>
          <w:rFonts w:ascii="Arial" w:hAnsi="Arial" w:cs="Arial"/>
        </w:rPr>
      </w:pPr>
      <w:r w:rsidRPr="004E0529">
        <w:rPr>
          <w:rFonts w:ascii="Arial" w:hAnsi="Arial" w:cs="Arial"/>
        </w:rPr>
        <w:t xml:space="preserve">Zgodnie z art. 146 ust. 4 ustawy o świadczeniach, Prezes Narodowego Funduszu Zdrowia przed określeniem przedmiotu postępowania w sprawie zawarcia umowy </w:t>
      </w:r>
      <w:r>
        <w:rPr>
          <w:rFonts w:ascii="Arial" w:hAnsi="Arial" w:cs="Arial"/>
        </w:rPr>
        <w:t>o </w:t>
      </w:r>
      <w:r w:rsidRPr="004E0529">
        <w:rPr>
          <w:rFonts w:ascii="Arial" w:hAnsi="Arial" w:cs="Arial"/>
        </w:rPr>
        <w:t xml:space="preserve">udzielanie świadczeń opieki zdrowotnej </w:t>
      </w:r>
      <w:r w:rsidR="003D66FC">
        <w:rPr>
          <w:rFonts w:ascii="Arial" w:hAnsi="Arial" w:cs="Arial"/>
        </w:rPr>
        <w:t>zasięgn</w:t>
      </w:r>
      <w:r w:rsidR="0098025C">
        <w:rPr>
          <w:rFonts w:ascii="Arial" w:hAnsi="Arial" w:cs="Arial"/>
        </w:rPr>
        <w:t>ął</w:t>
      </w:r>
      <w:r w:rsidR="00AC79E0">
        <w:rPr>
          <w:rFonts w:ascii="Arial" w:hAnsi="Arial" w:cs="Arial"/>
        </w:rPr>
        <w:t xml:space="preserve"> </w:t>
      </w:r>
      <w:r w:rsidRPr="004E0529">
        <w:rPr>
          <w:rFonts w:ascii="Arial" w:hAnsi="Arial" w:cs="Arial"/>
        </w:rPr>
        <w:t>opinii właściw</w:t>
      </w:r>
      <w:r>
        <w:rPr>
          <w:rFonts w:ascii="Arial" w:hAnsi="Arial" w:cs="Arial"/>
        </w:rPr>
        <w:t>ych</w:t>
      </w:r>
      <w:r w:rsidRPr="004E0529">
        <w:rPr>
          <w:rFonts w:ascii="Arial" w:hAnsi="Arial" w:cs="Arial"/>
        </w:rPr>
        <w:t xml:space="preserve"> konsultant</w:t>
      </w:r>
      <w:r>
        <w:rPr>
          <w:rFonts w:ascii="Arial" w:hAnsi="Arial" w:cs="Arial"/>
        </w:rPr>
        <w:t>ów</w:t>
      </w:r>
      <w:r w:rsidRPr="004E0529">
        <w:rPr>
          <w:rFonts w:ascii="Arial" w:hAnsi="Arial" w:cs="Arial"/>
        </w:rPr>
        <w:t xml:space="preserve"> krajow</w:t>
      </w:r>
      <w:r>
        <w:rPr>
          <w:rFonts w:ascii="Arial" w:hAnsi="Arial" w:cs="Arial"/>
        </w:rPr>
        <w:t>ych</w:t>
      </w:r>
      <w:r w:rsidRPr="004E0529">
        <w:rPr>
          <w:rFonts w:ascii="Arial" w:hAnsi="Arial" w:cs="Arial"/>
        </w:rPr>
        <w:t>, a także zgodnie z przepisami wydanymi na podstaw</w:t>
      </w:r>
      <w:r w:rsidR="0074693E">
        <w:rPr>
          <w:rFonts w:ascii="Arial" w:hAnsi="Arial" w:cs="Arial"/>
        </w:rPr>
        <w:t>ie art. </w:t>
      </w:r>
      <w:r w:rsidRPr="004E0529">
        <w:rPr>
          <w:rFonts w:ascii="Arial" w:hAnsi="Arial" w:cs="Arial"/>
        </w:rPr>
        <w:t xml:space="preserve">137 ustawy </w:t>
      </w:r>
      <w:r>
        <w:rPr>
          <w:rFonts w:ascii="Arial" w:hAnsi="Arial" w:cs="Arial"/>
        </w:rPr>
        <w:t>o </w:t>
      </w:r>
      <w:r w:rsidRPr="004E0529">
        <w:rPr>
          <w:rFonts w:ascii="Arial" w:hAnsi="Arial" w:cs="Arial"/>
        </w:rPr>
        <w:t xml:space="preserve">świadczeniach, </w:t>
      </w:r>
      <w:r w:rsidR="0098025C">
        <w:rPr>
          <w:rFonts w:ascii="Arial" w:hAnsi="Arial" w:cs="Arial"/>
        </w:rPr>
        <w:t>zasięgnął</w:t>
      </w:r>
      <w:r w:rsidR="0098025C" w:rsidRPr="004E0529">
        <w:rPr>
          <w:rFonts w:ascii="Arial" w:hAnsi="Arial" w:cs="Arial"/>
        </w:rPr>
        <w:t xml:space="preserve"> </w:t>
      </w:r>
      <w:r w:rsidRPr="004E0529">
        <w:rPr>
          <w:rFonts w:ascii="Arial" w:hAnsi="Arial" w:cs="Arial"/>
        </w:rPr>
        <w:t>opinii Naczelnej Rady Lekarskiej, Naczelnej Rady Pielęgniarek i Położnych oraz reprezentatywnych organizacji świadczeniodawców.</w:t>
      </w:r>
    </w:p>
    <w:p w:rsidR="00922B4B" w:rsidRDefault="00DC1F77" w:rsidP="00DC1F77">
      <w:pPr>
        <w:spacing w:line="360" w:lineRule="auto"/>
        <w:ind w:firstLine="567"/>
        <w:jc w:val="both"/>
        <w:rPr>
          <w:rFonts w:ascii="Arial" w:hAnsi="Arial" w:cs="Arial"/>
        </w:rPr>
      </w:pPr>
      <w:r w:rsidRPr="00265A61">
        <w:rPr>
          <w:rFonts w:ascii="Arial" w:hAnsi="Arial" w:cs="Arial"/>
        </w:rPr>
        <w:t xml:space="preserve">W trakcie konsultacji, do projektu zarządzenia odniosło się </w:t>
      </w:r>
      <w:r w:rsidR="003D399B">
        <w:rPr>
          <w:rFonts w:ascii="Arial" w:hAnsi="Arial" w:cs="Arial"/>
        </w:rPr>
        <w:t>25</w:t>
      </w:r>
      <w:r w:rsidRPr="00265A61">
        <w:rPr>
          <w:rFonts w:ascii="Arial" w:hAnsi="Arial" w:cs="Arial"/>
        </w:rPr>
        <w:t xml:space="preserve"> podmiotów (w tym </w:t>
      </w:r>
      <w:r w:rsidR="003D399B">
        <w:rPr>
          <w:rFonts w:ascii="Arial" w:hAnsi="Arial" w:cs="Arial"/>
        </w:rPr>
        <w:t>4</w:t>
      </w:r>
      <w:r w:rsidRPr="00265A61">
        <w:rPr>
          <w:rFonts w:ascii="Arial" w:hAnsi="Arial" w:cs="Arial"/>
        </w:rPr>
        <w:t xml:space="preserve"> oddział</w:t>
      </w:r>
      <w:r w:rsidR="005E33B9">
        <w:rPr>
          <w:rFonts w:ascii="Arial" w:hAnsi="Arial" w:cs="Arial"/>
        </w:rPr>
        <w:t>y</w:t>
      </w:r>
      <w:r w:rsidRPr="00265A61">
        <w:rPr>
          <w:rFonts w:ascii="Arial" w:hAnsi="Arial" w:cs="Arial"/>
        </w:rPr>
        <w:t xml:space="preserve"> wojewódzki</w:t>
      </w:r>
      <w:r w:rsidR="005E33B9">
        <w:rPr>
          <w:rFonts w:ascii="Arial" w:hAnsi="Arial" w:cs="Arial"/>
        </w:rPr>
        <w:t>e</w:t>
      </w:r>
      <w:r w:rsidRPr="00265A61">
        <w:rPr>
          <w:rFonts w:ascii="Arial" w:hAnsi="Arial" w:cs="Arial"/>
        </w:rPr>
        <w:t xml:space="preserve"> NFZ), z czego </w:t>
      </w:r>
      <w:r w:rsidR="003543A4">
        <w:rPr>
          <w:rFonts w:ascii="Arial" w:hAnsi="Arial" w:cs="Arial"/>
        </w:rPr>
        <w:t>4</w:t>
      </w:r>
      <w:r w:rsidRPr="00265A61">
        <w:rPr>
          <w:rFonts w:ascii="Arial" w:hAnsi="Arial" w:cs="Arial"/>
        </w:rPr>
        <w:t xml:space="preserve"> </w:t>
      </w:r>
      <w:r w:rsidR="005E33B9">
        <w:rPr>
          <w:rFonts w:ascii="Arial" w:hAnsi="Arial" w:cs="Arial"/>
        </w:rPr>
        <w:t xml:space="preserve">podmioty </w:t>
      </w:r>
      <w:r w:rsidRPr="00265A61">
        <w:rPr>
          <w:rFonts w:ascii="Arial" w:hAnsi="Arial" w:cs="Arial"/>
        </w:rPr>
        <w:t>nie zgłosił</w:t>
      </w:r>
      <w:r w:rsidR="005E33B9">
        <w:rPr>
          <w:rFonts w:ascii="Arial" w:hAnsi="Arial" w:cs="Arial"/>
        </w:rPr>
        <w:t>y</w:t>
      </w:r>
      <w:r w:rsidRPr="00265A61">
        <w:rPr>
          <w:rFonts w:ascii="Arial" w:hAnsi="Arial" w:cs="Arial"/>
        </w:rPr>
        <w:t xml:space="preserve"> uwag. </w:t>
      </w:r>
      <w:r w:rsidR="00954464">
        <w:rPr>
          <w:rFonts w:ascii="Arial" w:hAnsi="Arial" w:cs="Arial"/>
        </w:rPr>
        <w:t>2</w:t>
      </w:r>
      <w:r w:rsidR="00167E3D">
        <w:rPr>
          <w:rFonts w:ascii="Arial" w:hAnsi="Arial" w:cs="Arial"/>
        </w:rPr>
        <w:t xml:space="preserve"> podmiot</w:t>
      </w:r>
      <w:r w:rsidR="00954464">
        <w:rPr>
          <w:rFonts w:ascii="Arial" w:hAnsi="Arial" w:cs="Arial"/>
        </w:rPr>
        <w:t>y</w:t>
      </w:r>
      <w:r w:rsidR="00167E3D">
        <w:rPr>
          <w:rFonts w:ascii="Arial" w:hAnsi="Arial" w:cs="Arial"/>
        </w:rPr>
        <w:t xml:space="preserve"> zgłosił</w:t>
      </w:r>
      <w:r w:rsidR="00954464">
        <w:rPr>
          <w:rFonts w:ascii="Arial" w:hAnsi="Arial" w:cs="Arial"/>
        </w:rPr>
        <w:t>y</w:t>
      </w:r>
      <w:r w:rsidR="00167E3D">
        <w:rPr>
          <w:rFonts w:ascii="Arial" w:hAnsi="Arial" w:cs="Arial"/>
        </w:rPr>
        <w:t xml:space="preserve"> swoje uwagi po terminie. </w:t>
      </w:r>
    </w:p>
    <w:p w:rsidR="00DC1F77" w:rsidRPr="00265A61" w:rsidRDefault="00DC1F77" w:rsidP="00DC1F77">
      <w:pPr>
        <w:spacing w:line="360" w:lineRule="auto"/>
        <w:ind w:firstLine="567"/>
        <w:jc w:val="both"/>
        <w:rPr>
          <w:rFonts w:ascii="Arial" w:hAnsi="Arial" w:cs="Arial"/>
        </w:rPr>
      </w:pPr>
      <w:r>
        <w:rPr>
          <w:rFonts w:ascii="Arial" w:hAnsi="Arial" w:cs="Arial"/>
        </w:rPr>
        <w:t>Z przesłanych uwag</w:t>
      </w:r>
      <w:r w:rsidRPr="00265A61">
        <w:rPr>
          <w:rFonts w:ascii="Arial" w:hAnsi="Arial" w:cs="Arial"/>
        </w:rPr>
        <w:t xml:space="preserve"> </w:t>
      </w:r>
      <w:r w:rsidR="005E5D7E">
        <w:rPr>
          <w:rFonts w:ascii="Arial" w:hAnsi="Arial" w:cs="Arial"/>
        </w:rPr>
        <w:t>6</w:t>
      </w:r>
      <w:r w:rsidR="003543A4">
        <w:rPr>
          <w:rFonts w:ascii="Arial" w:hAnsi="Arial" w:cs="Arial"/>
        </w:rPr>
        <w:t xml:space="preserve"> uznano </w:t>
      </w:r>
      <w:r w:rsidRPr="00265A61">
        <w:rPr>
          <w:rFonts w:ascii="Arial" w:hAnsi="Arial" w:cs="Arial"/>
        </w:rPr>
        <w:t xml:space="preserve">za zasadne, </w:t>
      </w:r>
      <w:r w:rsidR="003543A4">
        <w:rPr>
          <w:rFonts w:ascii="Arial" w:hAnsi="Arial" w:cs="Arial"/>
        </w:rPr>
        <w:t>1</w:t>
      </w:r>
      <w:r w:rsidR="00F330B5">
        <w:rPr>
          <w:rFonts w:ascii="Arial" w:hAnsi="Arial" w:cs="Arial"/>
        </w:rPr>
        <w:t>5</w:t>
      </w:r>
      <w:r w:rsidRPr="00265A61">
        <w:rPr>
          <w:rFonts w:ascii="Arial" w:hAnsi="Arial" w:cs="Arial"/>
        </w:rPr>
        <w:t xml:space="preserve"> </w:t>
      </w:r>
      <w:r>
        <w:rPr>
          <w:rFonts w:ascii="Arial" w:hAnsi="Arial" w:cs="Arial"/>
        </w:rPr>
        <w:t xml:space="preserve">uznano za częściowo zasadne, </w:t>
      </w:r>
      <w:r w:rsidR="003543A4">
        <w:rPr>
          <w:rFonts w:ascii="Arial" w:hAnsi="Arial" w:cs="Arial"/>
        </w:rPr>
        <w:t xml:space="preserve">pozostałe uwagi uznano za bezzasadne lub stanowiły one uwagi ogólne. </w:t>
      </w:r>
    </w:p>
    <w:p w:rsidR="00DC1F77" w:rsidRDefault="00DC1F77" w:rsidP="00DC1F77">
      <w:pPr>
        <w:spacing w:line="360" w:lineRule="auto"/>
        <w:jc w:val="both"/>
        <w:rPr>
          <w:rFonts w:ascii="Arial" w:hAnsi="Arial" w:cs="Arial"/>
        </w:rPr>
      </w:pPr>
      <w:r w:rsidRPr="00265A61">
        <w:rPr>
          <w:rFonts w:ascii="Arial" w:hAnsi="Arial" w:cs="Arial"/>
        </w:rPr>
        <w:t>Najważniejsze uwzględnione dotyczą:</w:t>
      </w:r>
    </w:p>
    <w:p w:rsidR="003543A4" w:rsidRPr="00E817F0" w:rsidRDefault="003543A4" w:rsidP="00E817F0">
      <w:pPr>
        <w:pStyle w:val="Akapitzlist"/>
        <w:numPr>
          <w:ilvl w:val="0"/>
          <w:numId w:val="6"/>
        </w:numPr>
        <w:spacing w:line="360" w:lineRule="auto"/>
        <w:jc w:val="both"/>
        <w:rPr>
          <w:rFonts w:ascii="Arial" w:hAnsi="Arial" w:cs="Arial"/>
        </w:rPr>
      </w:pPr>
      <w:r w:rsidRPr="00E817F0">
        <w:rPr>
          <w:rFonts w:ascii="Arial" w:hAnsi="Arial" w:cs="Arial"/>
        </w:rPr>
        <w:t>doprecyzowania zapisów umożliwiających zastosowanie świadczenia o kodzie: 5.08.05.0000177 hospitalizacja jednego dnia z zastosowaniem jednorazowych pomp elastomerowych do terapii infuzyjnej;</w:t>
      </w:r>
    </w:p>
    <w:p w:rsidR="003543A4" w:rsidRPr="00E817F0" w:rsidRDefault="003543A4" w:rsidP="00E817F0">
      <w:pPr>
        <w:pStyle w:val="Akapitzlist"/>
        <w:numPr>
          <w:ilvl w:val="0"/>
          <w:numId w:val="6"/>
        </w:numPr>
        <w:spacing w:line="360" w:lineRule="auto"/>
        <w:jc w:val="both"/>
        <w:rPr>
          <w:rFonts w:ascii="Arial" w:hAnsi="Arial" w:cs="Arial"/>
        </w:rPr>
      </w:pPr>
      <w:r w:rsidRPr="00E817F0">
        <w:rPr>
          <w:rFonts w:ascii="Arial" w:hAnsi="Arial" w:cs="Arial"/>
        </w:rPr>
        <w:t>doprecyzowania kwestii przekazywania pełnomocnictw do podmiotu przeprowadzającego postępowanie;</w:t>
      </w:r>
    </w:p>
    <w:p w:rsidR="003543A4" w:rsidRPr="00E817F0" w:rsidRDefault="003543A4" w:rsidP="00E817F0">
      <w:pPr>
        <w:pStyle w:val="Akapitzlist"/>
        <w:numPr>
          <w:ilvl w:val="0"/>
          <w:numId w:val="6"/>
        </w:numPr>
        <w:spacing w:line="360" w:lineRule="auto"/>
        <w:jc w:val="both"/>
        <w:rPr>
          <w:rFonts w:ascii="Arial" w:hAnsi="Arial" w:cs="Arial"/>
          <w:bCs/>
        </w:rPr>
      </w:pPr>
      <w:r w:rsidRPr="00E817F0">
        <w:rPr>
          <w:rFonts w:ascii="Arial" w:hAnsi="Arial" w:cs="Arial"/>
        </w:rPr>
        <w:t xml:space="preserve">wprowadzenie zapisów umożliwiających świadczeniodawcy zakup leków na zasadach ogólnych, </w:t>
      </w:r>
      <w:r w:rsidRPr="00E817F0">
        <w:rPr>
          <w:rFonts w:ascii="Arial" w:hAnsi="Arial" w:cs="Arial"/>
          <w:bCs/>
        </w:rPr>
        <w:t>w sytuacji w której zostanie udokumentowana konieczność zastosowania innego leku, w okresie objętym postępowaniem o udzielenie zamówienia publicznego;</w:t>
      </w:r>
    </w:p>
    <w:p w:rsidR="00CC25E5" w:rsidRPr="00336EE1" w:rsidRDefault="003543A4" w:rsidP="00336EE1">
      <w:pPr>
        <w:pStyle w:val="Akapitzlist"/>
        <w:numPr>
          <w:ilvl w:val="0"/>
          <w:numId w:val="6"/>
        </w:numPr>
        <w:spacing w:line="360" w:lineRule="auto"/>
        <w:jc w:val="both"/>
        <w:rPr>
          <w:rFonts w:ascii="Arial" w:hAnsi="Arial" w:cs="Arial"/>
        </w:rPr>
      </w:pPr>
      <w:r w:rsidRPr="00336EE1">
        <w:rPr>
          <w:rFonts w:ascii="Arial" w:hAnsi="Arial" w:cs="Arial"/>
          <w:bCs/>
        </w:rPr>
        <w:t xml:space="preserve">wprowadzenie zapisów umożliwiających świadczeniodawcy korzystanie z dotychczas podpisanych umów na zakup leków, w sytuacji w której cena jednostkowa będzie </w:t>
      </w:r>
      <w:r w:rsidR="00683C51" w:rsidRPr="00336EE1">
        <w:rPr>
          <w:rFonts w:ascii="Arial" w:hAnsi="Arial" w:cs="Arial"/>
          <w:bCs/>
        </w:rPr>
        <w:t>nie wyższa niż cena</w:t>
      </w:r>
      <w:r w:rsidRPr="00336EE1">
        <w:rPr>
          <w:rFonts w:ascii="Arial" w:hAnsi="Arial" w:cs="Arial"/>
          <w:bCs/>
        </w:rPr>
        <w:t xml:space="preserve"> </w:t>
      </w:r>
      <w:r w:rsidR="00336EE1" w:rsidRPr="00336EE1">
        <w:rPr>
          <w:rFonts w:ascii="Arial" w:hAnsi="Arial" w:cs="Arial"/>
          <w:bCs/>
        </w:rPr>
        <w:t>uzyskana w wyniku wspólnego postępowania o udzielenie zamówienia publicznego</w:t>
      </w:r>
      <w:r w:rsidR="00336EE1">
        <w:rPr>
          <w:rFonts w:ascii="Arial" w:hAnsi="Arial" w:cs="Arial"/>
          <w:bCs/>
        </w:rPr>
        <w:t>.</w:t>
      </w:r>
    </w:p>
    <w:sectPr w:rsidR="00CC25E5" w:rsidRPr="00336EE1" w:rsidSect="008C6CF8">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B03E3"/>
    <w:multiLevelType w:val="hybridMultilevel"/>
    <w:tmpl w:val="9AD08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6C1EF5"/>
    <w:multiLevelType w:val="hybridMultilevel"/>
    <w:tmpl w:val="B1F801EE"/>
    <w:lvl w:ilvl="0" w:tplc="43E0531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42393753"/>
    <w:multiLevelType w:val="hybridMultilevel"/>
    <w:tmpl w:val="4940AD96"/>
    <w:lvl w:ilvl="0" w:tplc="0415001B">
      <w:start w:val="1"/>
      <w:numFmt w:val="bullet"/>
      <w:lvlText w:val=""/>
      <w:lvlJc w:val="left"/>
      <w:pPr>
        <w:ind w:left="720" w:hanging="360"/>
      </w:pPr>
      <w:rPr>
        <w:rFonts w:ascii="Symbol" w:hAnsi="Symbol" w:hint="default"/>
        <w:b/>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055263A"/>
    <w:multiLevelType w:val="hybridMultilevel"/>
    <w:tmpl w:val="26D4D5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55141CB"/>
    <w:multiLevelType w:val="hybridMultilevel"/>
    <w:tmpl w:val="B02E6B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334121"/>
    <w:multiLevelType w:val="hybridMultilevel"/>
    <w:tmpl w:val="963C2626"/>
    <w:lvl w:ilvl="0" w:tplc="43E05312">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1"/>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46B"/>
    <w:rsid w:val="000006B3"/>
    <w:rsid w:val="00002547"/>
    <w:rsid w:val="000037CA"/>
    <w:rsid w:val="0001327B"/>
    <w:rsid w:val="00015AF9"/>
    <w:rsid w:val="00021BA8"/>
    <w:rsid w:val="00022C7E"/>
    <w:rsid w:val="000232BE"/>
    <w:rsid w:val="0003056E"/>
    <w:rsid w:val="00031CA7"/>
    <w:rsid w:val="000352F1"/>
    <w:rsid w:val="000368BF"/>
    <w:rsid w:val="000374A8"/>
    <w:rsid w:val="000458AC"/>
    <w:rsid w:val="00045F18"/>
    <w:rsid w:val="00046DD2"/>
    <w:rsid w:val="00047ECC"/>
    <w:rsid w:val="00047F37"/>
    <w:rsid w:val="00050389"/>
    <w:rsid w:val="0005449C"/>
    <w:rsid w:val="000556CC"/>
    <w:rsid w:val="00057B0C"/>
    <w:rsid w:val="00061669"/>
    <w:rsid w:val="00065C4D"/>
    <w:rsid w:val="00070054"/>
    <w:rsid w:val="00070EE4"/>
    <w:rsid w:val="000725BA"/>
    <w:rsid w:val="00073DB4"/>
    <w:rsid w:val="000755BC"/>
    <w:rsid w:val="000757A7"/>
    <w:rsid w:val="00077209"/>
    <w:rsid w:val="00077847"/>
    <w:rsid w:val="00077ACB"/>
    <w:rsid w:val="00080198"/>
    <w:rsid w:val="000810D8"/>
    <w:rsid w:val="00086140"/>
    <w:rsid w:val="0008794A"/>
    <w:rsid w:val="000929E4"/>
    <w:rsid w:val="00092C32"/>
    <w:rsid w:val="00094B10"/>
    <w:rsid w:val="00095855"/>
    <w:rsid w:val="000A08DE"/>
    <w:rsid w:val="000A1913"/>
    <w:rsid w:val="000A2FD5"/>
    <w:rsid w:val="000A72DA"/>
    <w:rsid w:val="000B2BF8"/>
    <w:rsid w:val="000B3D3E"/>
    <w:rsid w:val="000B79C6"/>
    <w:rsid w:val="000B7D2A"/>
    <w:rsid w:val="000C151E"/>
    <w:rsid w:val="000C269E"/>
    <w:rsid w:val="000C656B"/>
    <w:rsid w:val="000C7413"/>
    <w:rsid w:val="000D133B"/>
    <w:rsid w:val="000D199E"/>
    <w:rsid w:val="000D2768"/>
    <w:rsid w:val="000D430B"/>
    <w:rsid w:val="000D6242"/>
    <w:rsid w:val="000D7956"/>
    <w:rsid w:val="000E3AF9"/>
    <w:rsid w:val="000E4315"/>
    <w:rsid w:val="000E67AB"/>
    <w:rsid w:val="000E7077"/>
    <w:rsid w:val="000F50DB"/>
    <w:rsid w:val="000F5A9E"/>
    <w:rsid w:val="001008B7"/>
    <w:rsid w:val="00101E2A"/>
    <w:rsid w:val="00102271"/>
    <w:rsid w:val="00103A70"/>
    <w:rsid w:val="001103B8"/>
    <w:rsid w:val="0011211A"/>
    <w:rsid w:val="00115318"/>
    <w:rsid w:val="00115957"/>
    <w:rsid w:val="001234E9"/>
    <w:rsid w:val="00124020"/>
    <w:rsid w:val="00126FE8"/>
    <w:rsid w:val="0012739D"/>
    <w:rsid w:val="0013257E"/>
    <w:rsid w:val="00134E67"/>
    <w:rsid w:val="00136F71"/>
    <w:rsid w:val="00137153"/>
    <w:rsid w:val="00141CB9"/>
    <w:rsid w:val="00142A8C"/>
    <w:rsid w:val="00143229"/>
    <w:rsid w:val="00143ED6"/>
    <w:rsid w:val="0014483E"/>
    <w:rsid w:val="00144B15"/>
    <w:rsid w:val="001527AA"/>
    <w:rsid w:val="00153D4D"/>
    <w:rsid w:val="001560BB"/>
    <w:rsid w:val="001563BC"/>
    <w:rsid w:val="00157357"/>
    <w:rsid w:val="00160622"/>
    <w:rsid w:val="0016421C"/>
    <w:rsid w:val="0016567A"/>
    <w:rsid w:val="00167117"/>
    <w:rsid w:val="00167E3D"/>
    <w:rsid w:val="001710B7"/>
    <w:rsid w:val="00172B98"/>
    <w:rsid w:val="00175B09"/>
    <w:rsid w:val="00183F3B"/>
    <w:rsid w:val="00185D42"/>
    <w:rsid w:val="00193D2A"/>
    <w:rsid w:val="001950EC"/>
    <w:rsid w:val="001954FA"/>
    <w:rsid w:val="00197284"/>
    <w:rsid w:val="001A032B"/>
    <w:rsid w:val="001A33F1"/>
    <w:rsid w:val="001A602D"/>
    <w:rsid w:val="001B21C3"/>
    <w:rsid w:val="001B26DE"/>
    <w:rsid w:val="001B28AE"/>
    <w:rsid w:val="001B474F"/>
    <w:rsid w:val="001B55AD"/>
    <w:rsid w:val="001B5BFA"/>
    <w:rsid w:val="001C147A"/>
    <w:rsid w:val="001C1EC2"/>
    <w:rsid w:val="001C3B9A"/>
    <w:rsid w:val="001C4123"/>
    <w:rsid w:val="001C51EC"/>
    <w:rsid w:val="001C723B"/>
    <w:rsid w:val="001D342A"/>
    <w:rsid w:val="001E21ED"/>
    <w:rsid w:val="001E5ABC"/>
    <w:rsid w:val="001E6B13"/>
    <w:rsid w:val="001F0B7F"/>
    <w:rsid w:val="001F32A3"/>
    <w:rsid w:val="001F3E89"/>
    <w:rsid w:val="001F439C"/>
    <w:rsid w:val="001F514D"/>
    <w:rsid w:val="001F5DA2"/>
    <w:rsid w:val="00201034"/>
    <w:rsid w:val="00201D5D"/>
    <w:rsid w:val="00206F53"/>
    <w:rsid w:val="002125D4"/>
    <w:rsid w:val="00216A9B"/>
    <w:rsid w:val="0021750C"/>
    <w:rsid w:val="00217C51"/>
    <w:rsid w:val="00221564"/>
    <w:rsid w:val="00223FD7"/>
    <w:rsid w:val="00231F61"/>
    <w:rsid w:val="00233511"/>
    <w:rsid w:val="002360A6"/>
    <w:rsid w:val="00241606"/>
    <w:rsid w:val="0024195C"/>
    <w:rsid w:val="0024325E"/>
    <w:rsid w:val="00246E64"/>
    <w:rsid w:val="00251511"/>
    <w:rsid w:val="00252105"/>
    <w:rsid w:val="002542AB"/>
    <w:rsid w:val="00255E08"/>
    <w:rsid w:val="00260328"/>
    <w:rsid w:val="00262E6F"/>
    <w:rsid w:val="002638D7"/>
    <w:rsid w:val="002639F6"/>
    <w:rsid w:val="00264141"/>
    <w:rsid w:val="00271B85"/>
    <w:rsid w:val="002770F1"/>
    <w:rsid w:val="002829AC"/>
    <w:rsid w:val="00282E37"/>
    <w:rsid w:val="00286B65"/>
    <w:rsid w:val="0029635A"/>
    <w:rsid w:val="002975B5"/>
    <w:rsid w:val="0029790A"/>
    <w:rsid w:val="00297AE0"/>
    <w:rsid w:val="002A0C2B"/>
    <w:rsid w:val="002A4020"/>
    <w:rsid w:val="002B4685"/>
    <w:rsid w:val="002B4B2D"/>
    <w:rsid w:val="002B4C92"/>
    <w:rsid w:val="002B5C2D"/>
    <w:rsid w:val="002C0378"/>
    <w:rsid w:val="002C3D0F"/>
    <w:rsid w:val="002C4489"/>
    <w:rsid w:val="002C4890"/>
    <w:rsid w:val="002C51CE"/>
    <w:rsid w:val="002C56AA"/>
    <w:rsid w:val="002C6511"/>
    <w:rsid w:val="002D3D13"/>
    <w:rsid w:val="002D4A83"/>
    <w:rsid w:val="002D511E"/>
    <w:rsid w:val="002D566D"/>
    <w:rsid w:val="002D78C9"/>
    <w:rsid w:val="002E06FA"/>
    <w:rsid w:val="002E0AB8"/>
    <w:rsid w:val="002E15B8"/>
    <w:rsid w:val="002E3AD3"/>
    <w:rsid w:val="002E65A3"/>
    <w:rsid w:val="002E661B"/>
    <w:rsid w:val="002E6D05"/>
    <w:rsid w:val="002F163E"/>
    <w:rsid w:val="002F1B64"/>
    <w:rsid w:val="002F61C7"/>
    <w:rsid w:val="002F622A"/>
    <w:rsid w:val="002F7116"/>
    <w:rsid w:val="002F720B"/>
    <w:rsid w:val="0030187A"/>
    <w:rsid w:val="00302219"/>
    <w:rsid w:val="00303895"/>
    <w:rsid w:val="003058C3"/>
    <w:rsid w:val="00306FE1"/>
    <w:rsid w:val="00310A8F"/>
    <w:rsid w:val="00313342"/>
    <w:rsid w:val="00317345"/>
    <w:rsid w:val="00317A42"/>
    <w:rsid w:val="00320350"/>
    <w:rsid w:val="00320565"/>
    <w:rsid w:val="0032161A"/>
    <w:rsid w:val="003220F9"/>
    <w:rsid w:val="003228DC"/>
    <w:rsid w:val="00322C2C"/>
    <w:rsid w:val="0032315A"/>
    <w:rsid w:val="003231EA"/>
    <w:rsid w:val="00325D4C"/>
    <w:rsid w:val="0033111D"/>
    <w:rsid w:val="00333945"/>
    <w:rsid w:val="00333C55"/>
    <w:rsid w:val="00336EE1"/>
    <w:rsid w:val="0034177F"/>
    <w:rsid w:val="00344AD6"/>
    <w:rsid w:val="003472C3"/>
    <w:rsid w:val="00352C2F"/>
    <w:rsid w:val="00353178"/>
    <w:rsid w:val="003543A4"/>
    <w:rsid w:val="003547C8"/>
    <w:rsid w:val="003558CF"/>
    <w:rsid w:val="0036079C"/>
    <w:rsid w:val="0036312F"/>
    <w:rsid w:val="003660BE"/>
    <w:rsid w:val="00370864"/>
    <w:rsid w:val="00370E13"/>
    <w:rsid w:val="003771C3"/>
    <w:rsid w:val="003801F4"/>
    <w:rsid w:val="00383794"/>
    <w:rsid w:val="00397DE0"/>
    <w:rsid w:val="003A3434"/>
    <w:rsid w:val="003A3A31"/>
    <w:rsid w:val="003A5BBC"/>
    <w:rsid w:val="003B060D"/>
    <w:rsid w:val="003B2635"/>
    <w:rsid w:val="003B5DFC"/>
    <w:rsid w:val="003B6BDD"/>
    <w:rsid w:val="003B6E16"/>
    <w:rsid w:val="003C2A1D"/>
    <w:rsid w:val="003C7B30"/>
    <w:rsid w:val="003D18EA"/>
    <w:rsid w:val="003D1DE9"/>
    <w:rsid w:val="003D399B"/>
    <w:rsid w:val="003D3B21"/>
    <w:rsid w:val="003D40FF"/>
    <w:rsid w:val="003D66FC"/>
    <w:rsid w:val="003D7179"/>
    <w:rsid w:val="003D745A"/>
    <w:rsid w:val="003D7BBB"/>
    <w:rsid w:val="003D7EEA"/>
    <w:rsid w:val="003E05D9"/>
    <w:rsid w:val="003E6B97"/>
    <w:rsid w:val="003F514E"/>
    <w:rsid w:val="003F58BF"/>
    <w:rsid w:val="003F6334"/>
    <w:rsid w:val="003F74AB"/>
    <w:rsid w:val="00401482"/>
    <w:rsid w:val="00402CFD"/>
    <w:rsid w:val="004034FC"/>
    <w:rsid w:val="0040396F"/>
    <w:rsid w:val="004054C9"/>
    <w:rsid w:val="00405719"/>
    <w:rsid w:val="00406AB0"/>
    <w:rsid w:val="004146B7"/>
    <w:rsid w:val="004168CE"/>
    <w:rsid w:val="0042283A"/>
    <w:rsid w:val="00422DA6"/>
    <w:rsid w:val="00423EC1"/>
    <w:rsid w:val="00426825"/>
    <w:rsid w:val="00430B35"/>
    <w:rsid w:val="00431CBC"/>
    <w:rsid w:val="004337C5"/>
    <w:rsid w:val="00434CDD"/>
    <w:rsid w:val="004366B6"/>
    <w:rsid w:val="004372E5"/>
    <w:rsid w:val="00443528"/>
    <w:rsid w:val="00446E46"/>
    <w:rsid w:val="00450063"/>
    <w:rsid w:val="004536FD"/>
    <w:rsid w:val="0045575A"/>
    <w:rsid w:val="00455E24"/>
    <w:rsid w:val="00456D2B"/>
    <w:rsid w:val="0045742F"/>
    <w:rsid w:val="00461F32"/>
    <w:rsid w:val="004661B6"/>
    <w:rsid w:val="00466922"/>
    <w:rsid w:val="00466F1A"/>
    <w:rsid w:val="00471366"/>
    <w:rsid w:val="00475ED9"/>
    <w:rsid w:val="0047769D"/>
    <w:rsid w:val="0048006A"/>
    <w:rsid w:val="00481BC8"/>
    <w:rsid w:val="00481D41"/>
    <w:rsid w:val="00482B70"/>
    <w:rsid w:val="00484087"/>
    <w:rsid w:val="004852F5"/>
    <w:rsid w:val="004863C4"/>
    <w:rsid w:val="004929BF"/>
    <w:rsid w:val="00497390"/>
    <w:rsid w:val="004A1343"/>
    <w:rsid w:val="004A41D7"/>
    <w:rsid w:val="004A45BE"/>
    <w:rsid w:val="004A5052"/>
    <w:rsid w:val="004A524C"/>
    <w:rsid w:val="004A5F7F"/>
    <w:rsid w:val="004A7258"/>
    <w:rsid w:val="004A77EF"/>
    <w:rsid w:val="004A7D7D"/>
    <w:rsid w:val="004B1825"/>
    <w:rsid w:val="004B24D3"/>
    <w:rsid w:val="004C19DD"/>
    <w:rsid w:val="004C390A"/>
    <w:rsid w:val="004C5EE2"/>
    <w:rsid w:val="004C6D64"/>
    <w:rsid w:val="004C7372"/>
    <w:rsid w:val="004C7D52"/>
    <w:rsid w:val="004D2832"/>
    <w:rsid w:val="004D5BCA"/>
    <w:rsid w:val="004D6EA7"/>
    <w:rsid w:val="004E1508"/>
    <w:rsid w:val="004E2768"/>
    <w:rsid w:val="004E3085"/>
    <w:rsid w:val="004E7D7C"/>
    <w:rsid w:val="004F46E7"/>
    <w:rsid w:val="004F4C97"/>
    <w:rsid w:val="004F76D6"/>
    <w:rsid w:val="00500938"/>
    <w:rsid w:val="005020E4"/>
    <w:rsid w:val="00502510"/>
    <w:rsid w:val="00505D86"/>
    <w:rsid w:val="0050649F"/>
    <w:rsid w:val="005101F7"/>
    <w:rsid w:val="0051054D"/>
    <w:rsid w:val="00511B4A"/>
    <w:rsid w:val="00514734"/>
    <w:rsid w:val="005201BB"/>
    <w:rsid w:val="005228DB"/>
    <w:rsid w:val="00523424"/>
    <w:rsid w:val="005243BB"/>
    <w:rsid w:val="00524791"/>
    <w:rsid w:val="00525B21"/>
    <w:rsid w:val="00533AB8"/>
    <w:rsid w:val="00533D2D"/>
    <w:rsid w:val="00535E22"/>
    <w:rsid w:val="00535FA3"/>
    <w:rsid w:val="00536973"/>
    <w:rsid w:val="00537156"/>
    <w:rsid w:val="00540B4E"/>
    <w:rsid w:val="00542E49"/>
    <w:rsid w:val="00544707"/>
    <w:rsid w:val="00544D0A"/>
    <w:rsid w:val="005455C7"/>
    <w:rsid w:val="005468B8"/>
    <w:rsid w:val="005474B0"/>
    <w:rsid w:val="00550BEB"/>
    <w:rsid w:val="005524DC"/>
    <w:rsid w:val="005528C1"/>
    <w:rsid w:val="0055490E"/>
    <w:rsid w:val="00562271"/>
    <w:rsid w:val="00565B98"/>
    <w:rsid w:val="00566237"/>
    <w:rsid w:val="00580867"/>
    <w:rsid w:val="00581CFF"/>
    <w:rsid w:val="005828DC"/>
    <w:rsid w:val="00585CFA"/>
    <w:rsid w:val="00587EAF"/>
    <w:rsid w:val="005904E4"/>
    <w:rsid w:val="00591010"/>
    <w:rsid w:val="00592957"/>
    <w:rsid w:val="00593512"/>
    <w:rsid w:val="00595BE6"/>
    <w:rsid w:val="00596B91"/>
    <w:rsid w:val="005978C4"/>
    <w:rsid w:val="005A0850"/>
    <w:rsid w:val="005A315F"/>
    <w:rsid w:val="005B04E4"/>
    <w:rsid w:val="005B536C"/>
    <w:rsid w:val="005B5A5E"/>
    <w:rsid w:val="005B5A69"/>
    <w:rsid w:val="005B6BAE"/>
    <w:rsid w:val="005C05E1"/>
    <w:rsid w:val="005C19AB"/>
    <w:rsid w:val="005D0E35"/>
    <w:rsid w:val="005D4745"/>
    <w:rsid w:val="005D5ACD"/>
    <w:rsid w:val="005E17EF"/>
    <w:rsid w:val="005E1A0E"/>
    <w:rsid w:val="005E33B9"/>
    <w:rsid w:val="005E5D7E"/>
    <w:rsid w:val="005E780D"/>
    <w:rsid w:val="0060081B"/>
    <w:rsid w:val="00600C16"/>
    <w:rsid w:val="00604702"/>
    <w:rsid w:val="00607EEC"/>
    <w:rsid w:val="006112DC"/>
    <w:rsid w:val="00611D22"/>
    <w:rsid w:val="00614005"/>
    <w:rsid w:val="00615ED1"/>
    <w:rsid w:val="006174E9"/>
    <w:rsid w:val="00623AAF"/>
    <w:rsid w:val="006269B3"/>
    <w:rsid w:val="00626CA4"/>
    <w:rsid w:val="006315C1"/>
    <w:rsid w:val="00634368"/>
    <w:rsid w:val="00634512"/>
    <w:rsid w:val="0063656E"/>
    <w:rsid w:val="006375D8"/>
    <w:rsid w:val="00641618"/>
    <w:rsid w:val="00643CB7"/>
    <w:rsid w:val="00645CA6"/>
    <w:rsid w:val="00650A65"/>
    <w:rsid w:val="00650F75"/>
    <w:rsid w:val="006600D2"/>
    <w:rsid w:val="00664D29"/>
    <w:rsid w:val="00671CCF"/>
    <w:rsid w:val="006748CC"/>
    <w:rsid w:val="00674906"/>
    <w:rsid w:val="0067559A"/>
    <w:rsid w:val="00683C51"/>
    <w:rsid w:val="0068552B"/>
    <w:rsid w:val="00685A12"/>
    <w:rsid w:val="00686A04"/>
    <w:rsid w:val="006901E4"/>
    <w:rsid w:val="006911D8"/>
    <w:rsid w:val="006930A3"/>
    <w:rsid w:val="006A3243"/>
    <w:rsid w:val="006A6592"/>
    <w:rsid w:val="006B54D1"/>
    <w:rsid w:val="006B66DF"/>
    <w:rsid w:val="006C00CD"/>
    <w:rsid w:val="006C14FF"/>
    <w:rsid w:val="006C224F"/>
    <w:rsid w:val="006C2E31"/>
    <w:rsid w:val="006C3FD1"/>
    <w:rsid w:val="006C4D25"/>
    <w:rsid w:val="006C5446"/>
    <w:rsid w:val="006D2881"/>
    <w:rsid w:val="006D3015"/>
    <w:rsid w:val="006D597B"/>
    <w:rsid w:val="006D61BC"/>
    <w:rsid w:val="006D6E5C"/>
    <w:rsid w:val="006E06BB"/>
    <w:rsid w:val="006E097D"/>
    <w:rsid w:val="006E79AF"/>
    <w:rsid w:val="006F1E82"/>
    <w:rsid w:val="006F36BD"/>
    <w:rsid w:val="006F3B2A"/>
    <w:rsid w:val="006F46EE"/>
    <w:rsid w:val="006F5144"/>
    <w:rsid w:val="006F58CC"/>
    <w:rsid w:val="006F7391"/>
    <w:rsid w:val="00700B62"/>
    <w:rsid w:val="0070100D"/>
    <w:rsid w:val="00701620"/>
    <w:rsid w:val="0070292A"/>
    <w:rsid w:val="00703FF8"/>
    <w:rsid w:val="007058DD"/>
    <w:rsid w:val="00707F54"/>
    <w:rsid w:val="00710849"/>
    <w:rsid w:val="00712298"/>
    <w:rsid w:val="00717438"/>
    <w:rsid w:val="00717D26"/>
    <w:rsid w:val="0072008A"/>
    <w:rsid w:val="007211F2"/>
    <w:rsid w:val="00724462"/>
    <w:rsid w:val="00725D60"/>
    <w:rsid w:val="00726B88"/>
    <w:rsid w:val="007329AF"/>
    <w:rsid w:val="00732A44"/>
    <w:rsid w:val="00732D5A"/>
    <w:rsid w:val="00735A5C"/>
    <w:rsid w:val="0073757B"/>
    <w:rsid w:val="00737981"/>
    <w:rsid w:val="00745144"/>
    <w:rsid w:val="00745485"/>
    <w:rsid w:val="0074693E"/>
    <w:rsid w:val="00746CF7"/>
    <w:rsid w:val="007477ED"/>
    <w:rsid w:val="007536A8"/>
    <w:rsid w:val="007548A8"/>
    <w:rsid w:val="00754C16"/>
    <w:rsid w:val="00755D45"/>
    <w:rsid w:val="0076027F"/>
    <w:rsid w:val="00760C84"/>
    <w:rsid w:val="007610FF"/>
    <w:rsid w:val="0076130E"/>
    <w:rsid w:val="007637F8"/>
    <w:rsid w:val="0076577C"/>
    <w:rsid w:val="00770AFD"/>
    <w:rsid w:val="00771F9B"/>
    <w:rsid w:val="0077248E"/>
    <w:rsid w:val="007738BE"/>
    <w:rsid w:val="0077598E"/>
    <w:rsid w:val="00780EB6"/>
    <w:rsid w:val="007906AE"/>
    <w:rsid w:val="00791935"/>
    <w:rsid w:val="00791CE8"/>
    <w:rsid w:val="00791FAC"/>
    <w:rsid w:val="0079363A"/>
    <w:rsid w:val="00795E12"/>
    <w:rsid w:val="007972DD"/>
    <w:rsid w:val="007A04B9"/>
    <w:rsid w:val="007A385E"/>
    <w:rsid w:val="007A4E14"/>
    <w:rsid w:val="007A65CF"/>
    <w:rsid w:val="007B1B49"/>
    <w:rsid w:val="007B2525"/>
    <w:rsid w:val="007B4E08"/>
    <w:rsid w:val="007B4E78"/>
    <w:rsid w:val="007B5D53"/>
    <w:rsid w:val="007B7BF6"/>
    <w:rsid w:val="007C0C5B"/>
    <w:rsid w:val="007C15E0"/>
    <w:rsid w:val="007C3F6A"/>
    <w:rsid w:val="007C4A94"/>
    <w:rsid w:val="007C6ECC"/>
    <w:rsid w:val="007C706E"/>
    <w:rsid w:val="007D14A9"/>
    <w:rsid w:val="007D1769"/>
    <w:rsid w:val="007D2B0A"/>
    <w:rsid w:val="007D3E88"/>
    <w:rsid w:val="007D5F42"/>
    <w:rsid w:val="007D7645"/>
    <w:rsid w:val="007E012D"/>
    <w:rsid w:val="007E3980"/>
    <w:rsid w:val="007E770E"/>
    <w:rsid w:val="007F31BC"/>
    <w:rsid w:val="007F6863"/>
    <w:rsid w:val="00800990"/>
    <w:rsid w:val="00800E6B"/>
    <w:rsid w:val="00801809"/>
    <w:rsid w:val="00802602"/>
    <w:rsid w:val="00804076"/>
    <w:rsid w:val="00804941"/>
    <w:rsid w:val="00806D60"/>
    <w:rsid w:val="0081086C"/>
    <w:rsid w:val="00813433"/>
    <w:rsid w:val="00816645"/>
    <w:rsid w:val="00822A93"/>
    <w:rsid w:val="008230AC"/>
    <w:rsid w:val="00825265"/>
    <w:rsid w:val="0082673D"/>
    <w:rsid w:val="0083000B"/>
    <w:rsid w:val="0083024F"/>
    <w:rsid w:val="00834D4A"/>
    <w:rsid w:val="008356C0"/>
    <w:rsid w:val="00837040"/>
    <w:rsid w:val="00837486"/>
    <w:rsid w:val="00845753"/>
    <w:rsid w:val="008507BA"/>
    <w:rsid w:val="00850C4E"/>
    <w:rsid w:val="0085627C"/>
    <w:rsid w:val="008575C3"/>
    <w:rsid w:val="00857F80"/>
    <w:rsid w:val="0086336A"/>
    <w:rsid w:val="00866711"/>
    <w:rsid w:val="00870D1B"/>
    <w:rsid w:val="0088050B"/>
    <w:rsid w:val="0088169C"/>
    <w:rsid w:val="00883EAC"/>
    <w:rsid w:val="0088422B"/>
    <w:rsid w:val="008863EA"/>
    <w:rsid w:val="00890A54"/>
    <w:rsid w:val="0089123D"/>
    <w:rsid w:val="0089152B"/>
    <w:rsid w:val="00892DA8"/>
    <w:rsid w:val="00897D84"/>
    <w:rsid w:val="008A4CED"/>
    <w:rsid w:val="008A61AB"/>
    <w:rsid w:val="008B022F"/>
    <w:rsid w:val="008B05F7"/>
    <w:rsid w:val="008B23D9"/>
    <w:rsid w:val="008B5168"/>
    <w:rsid w:val="008B5661"/>
    <w:rsid w:val="008C13AC"/>
    <w:rsid w:val="008C1820"/>
    <w:rsid w:val="008C2AC8"/>
    <w:rsid w:val="008C38BA"/>
    <w:rsid w:val="008C46D2"/>
    <w:rsid w:val="008C6856"/>
    <w:rsid w:val="008C6CF8"/>
    <w:rsid w:val="008C75B5"/>
    <w:rsid w:val="008C7669"/>
    <w:rsid w:val="008D0921"/>
    <w:rsid w:val="008D4C71"/>
    <w:rsid w:val="008E47B8"/>
    <w:rsid w:val="008E4F66"/>
    <w:rsid w:val="008E5F31"/>
    <w:rsid w:val="008E6A48"/>
    <w:rsid w:val="008E7B15"/>
    <w:rsid w:val="008E7DD4"/>
    <w:rsid w:val="008F3A2E"/>
    <w:rsid w:val="008F4A67"/>
    <w:rsid w:val="008F54E9"/>
    <w:rsid w:val="008F5DE6"/>
    <w:rsid w:val="008F723A"/>
    <w:rsid w:val="00900055"/>
    <w:rsid w:val="00903883"/>
    <w:rsid w:val="009040FF"/>
    <w:rsid w:val="00907E0B"/>
    <w:rsid w:val="00912ECC"/>
    <w:rsid w:val="00913B0B"/>
    <w:rsid w:val="00914321"/>
    <w:rsid w:val="00917B23"/>
    <w:rsid w:val="009202D6"/>
    <w:rsid w:val="00922B4B"/>
    <w:rsid w:val="009276C2"/>
    <w:rsid w:val="00927D01"/>
    <w:rsid w:val="009400DA"/>
    <w:rsid w:val="0094145C"/>
    <w:rsid w:val="0094396B"/>
    <w:rsid w:val="009448D0"/>
    <w:rsid w:val="00944F12"/>
    <w:rsid w:val="00954464"/>
    <w:rsid w:val="00955FAB"/>
    <w:rsid w:val="00965863"/>
    <w:rsid w:val="0097002F"/>
    <w:rsid w:val="00976A3F"/>
    <w:rsid w:val="00977240"/>
    <w:rsid w:val="0098025C"/>
    <w:rsid w:val="009807B6"/>
    <w:rsid w:val="0098446B"/>
    <w:rsid w:val="009847F4"/>
    <w:rsid w:val="0098585C"/>
    <w:rsid w:val="0099169D"/>
    <w:rsid w:val="00994770"/>
    <w:rsid w:val="00997868"/>
    <w:rsid w:val="00997A5C"/>
    <w:rsid w:val="009A2958"/>
    <w:rsid w:val="009A2F45"/>
    <w:rsid w:val="009A40F7"/>
    <w:rsid w:val="009B48FE"/>
    <w:rsid w:val="009B54ED"/>
    <w:rsid w:val="009B7E37"/>
    <w:rsid w:val="009C1404"/>
    <w:rsid w:val="009C2775"/>
    <w:rsid w:val="009C29B2"/>
    <w:rsid w:val="009C584C"/>
    <w:rsid w:val="009C61D0"/>
    <w:rsid w:val="009D12BB"/>
    <w:rsid w:val="009D4D37"/>
    <w:rsid w:val="009D501A"/>
    <w:rsid w:val="009E0A63"/>
    <w:rsid w:val="009E1CF6"/>
    <w:rsid w:val="009E301A"/>
    <w:rsid w:val="009E76BD"/>
    <w:rsid w:val="009F118D"/>
    <w:rsid w:val="009F3228"/>
    <w:rsid w:val="00A0161D"/>
    <w:rsid w:val="00A03B79"/>
    <w:rsid w:val="00A03C61"/>
    <w:rsid w:val="00A053CF"/>
    <w:rsid w:val="00A05633"/>
    <w:rsid w:val="00A06B0D"/>
    <w:rsid w:val="00A10BC4"/>
    <w:rsid w:val="00A11C26"/>
    <w:rsid w:val="00A1502A"/>
    <w:rsid w:val="00A16992"/>
    <w:rsid w:val="00A20873"/>
    <w:rsid w:val="00A21ACB"/>
    <w:rsid w:val="00A23C43"/>
    <w:rsid w:val="00A30B94"/>
    <w:rsid w:val="00A31D2E"/>
    <w:rsid w:val="00A35BFF"/>
    <w:rsid w:val="00A374A6"/>
    <w:rsid w:val="00A37B8A"/>
    <w:rsid w:val="00A37C6C"/>
    <w:rsid w:val="00A44A3B"/>
    <w:rsid w:val="00A46463"/>
    <w:rsid w:val="00A46691"/>
    <w:rsid w:val="00A46703"/>
    <w:rsid w:val="00A469ED"/>
    <w:rsid w:val="00A47512"/>
    <w:rsid w:val="00A50803"/>
    <w:rsid w:val="00A5086E"/>
    <w:rsid w:val="00A51D4C"/>
    <w:rsid w:val="00A525EE"/>
    <w:rsid w:val="00A52A12"/>
    <w:rsid w:val="00A5378B"/>
    <w:rsid w:val="00A62D5D"/>
    <w:rsid w:val="00A644C6"/>
    <w:rsid w:val="00A72E80"/>
    <w:rsid w:val="00A7496F"/>
    <w:rsid w:val="00A74A62"/>
    <w:rsid w:val="00A75666"/>
    <w:rsid w:val="00A77172"/>
    <w:rsid w:val="00A8120C"/>
    <w:rsid w:val="00A8279F"/>
    <w:rsid w:val="00A84781"/>
    <w:rsid w:val="00A85649"/>
    <w:rsid w:val="00A86A2C"/>
    <w:rsid w:val="00A9225D"/>
    <w:rsid w:val="00A940E1"/>
    <w:rsid w:val="00AA3E80"/>
    <w:rsid w:val="00AA4A66"/>
    <w:rsid w:val="00AA4C00"/>
    <w:rsid w:val="00AB2F67"/>
    <w:rsid w:val="00AB35D8"/>
    <w:rsid w:val="00AB50CB"/>
    <w:rsid w:val="00AB5C0D"/>
    <w:rsid w:val="00AB62DC"/>
    <w:rsid w:val="00AB6504"/>
    <w:rsid w:val="00AB6F33"/>
    <w:rsid w:val="00AB7568"/>
    <w:rsid w:val="00AC2816"/>
    <w:rsid w:val="00AC2EB7"/>
    <w:rsid w:val="00AC4137"/>
    <w:rsid w:val="00AC79E0"/>
    <w:rsid w:val="00AD06A5"/>
    <w:rsid w:val="00AD3D35"/>
    <w:rsid w:val="00AD5662"/>
    <w:rsid w:val="00AD6B46"/>
    <w:rsid w:val="00AD7EA1"/>
    <w:rsid w:val="00AE0A92"/>
    <w:rsid w:val="00AE13A6"/>
    <w:rsid w:val="00AE7BB3"/>
    <w:rsid w:val="00AF4476"/>
    <w:rsid w:val="00AF4643"/>
    <w:rsid w:val="00B00F7A"/>
    <w:rsid w:val="00B02A76"/>
    <w:rsid w:val="00B05AC6"/>
    <w:rsid w:val="00B063E8"/>
    <w:rsid w:val="00B06A5F"/>
    <w:rsid w:val="00B07651"/>
    <w:rsid w:val="00B10D52"/>
    <w:rsid w:val="00B13BFF"/>
    <w:rsid w:val="00B156A9"/>
    <w:rsid w:val="00B20079"/>
    <w:rsid w:val="00B25212"/>
    <w:rsid w:val="00B30F7F"/>
    <w:rsid w:val="00B32347"/>
    <w:rsid w:val="00B418B9"/>
    <w:rsid w:val="00B45E22"/>
    <w:rsid w:val="00B4761D"/>
    <w:rsid w:val="00B503E2"/>
    <w:rsid w:val="00B50B0D"/>
    <w:rsid w:val="00B52120"/>
    <w:rsid w:val="00B52596"/>
    <w:rsid w:val="00B52606"/>
    <w:rsid w:val="00B60F61"/>
    <w:rsid w:val="00B66A71"/>
    <w:rsid w:val="00B8090A"/>
    <w:rsid w:val="00B81D15"/>
    <w:rsid w:val="00B8652B"/>
    <w:rsid w:val="00B87562"/>
    <w:rsid w:val="00B9140E"/>
    <w:rsid w:val="00B9272E"/>
    <w:rsid w:val="00B96507"/>
    <w:rsid w:val="00BA1D7F"/>
    <w:rsid w:val="00BA27CA"/>
    <w:rsid w:val="00BA4B0D"/>
    <w:rsid w:val="00BB18FF"/>
    <w:rsid w:val="00BB63E8"/>
    <w:rsid w:val="00BC12E6"/>
    <w:rsid w:val="00BC156C"/>
    <w:rsid w:val="00BC5446"/>
    <w:rsid w:val="00BC7054"/>
    <w:rsid w:val="00BC74AE"/>
    <w:rsid w:val="00BD4464"/>
    <w:rsid w:val="00BD7611"/>
    <w:rsid w:val="00BE48AA"/>
    <w:rsid w:val="00BE58A8"/>
    <w:rsid w:val="00BF3F6F"/>
    <w:rsid w:val="00BF425A"/>
    <w:rsid w:val="00BF51CA"/>
    <w:rsid w:val="00BF5914"/>
    <w:rsid w:val="00BF69FE"/>
    <w:rsid w:val="00BF7BD1"/>
    <w:rsid w:val="00C03383"/>
    <w:rsid w:val="00C065B5"/>
    <w:rsid w:val="00C11E6E"/>
    <w:rsid w:val="00C12452"/>
    <w:rsid w:val="00C1395D"/>
    <w:rsid w:val="00C177A7"/>
    <w:rsid w:val="00C214D9"/>
    <w:rsid w:val="00C22322"/>
    <w:rsid w:val="00C230D1"/>
    <w:rsid w:val="00C2408F"/>
    <w:rsid w:val="00C2586B"/>
    <w:rsid w:val="00C259F7"/>
    <w:rsid w:val="00C320FE"/>
    <w:rsid w:val="00C426BC"/>
    <w:rsid w:val="00C42DC2"/>
    <w:rsid w:val="00C43761"/>
    <w:rsid w:val="00C454F3"/>
    <w:rsid w:val="00C51FF2"/>
    <w:rsid w:val="00C53B8F"/>
    <w:rsid w:val="00C550C6"/>
    <w:rsid w:val="00C57D93"/>
    <w:rsid w:val="00C6070C"/>
    <w:rsid w:val="00C66DC8"/>
    <w:rsid w:val="00C677E0"/>
    <w:rsid w:val="00C71433"/>
    <w:rsid w:val="00C71BBF"/>
    <w:rsid w:val="00C72290"/>
    <w:rsid w:val="00C72F95"/>
    <w:rsid w:val="00C74004"/>
    <w:rsid w:val="00C74C16"/>
    <w:rsid w:val="00C80FB8"/>
    <w:rsid w:val="00C81327"/>
    <w:rsid w:val="00C81646"/>
    <w:rsid w:val="00C84100"/>
    <w:rsid w:val="00C8720D"/>
    <w:rsid w:val="00C91AE5"/>
    <w:rsid w:val="00C93131"/>
    <w:rsid w:val="00C95E29"/>
    <w:rsid w:val="00C96D6E"/>
    <w:rsid w:val="00CA074F"/>
    <w:rsid w:val="00CA1156"/>
    <w:rsid w:val="00CA1CFE"/>
    <w:rsid w:val="00CA4421"/>
    <w:rsid w:val="00CA44B8"/>
    <w:rsid w:val="00CA663F"/>
    <w:rsid w:val="00CA67F4"/>
    <w:rsid w:val="00CA77B9"/>
    <w:rsid w:val="00CB0C67"/>
    <w:rsid w:val="00CB2182"/>
    <w:rsid w:val="00CB33AC"/>
    <w:rsid w:val="00CB6963"/>
    <w:rsid w:val="00CC0D8E"/>
    <w:rsid w:val="00CC25E5"/>
    <w:rsid w:val="00CC4DD2"/>
    <w:rsid w:val="00CC5A06"/>
    <w:rsid w:val="00CD1D23"/>
    <w:rsid w:val="00CD2968"/>
    <w:rsid w:val="00CD30C8"/>
    <w:rsid w:val="00CD73ED"/>
    <w:rsid w:val="00CE17CD"/>
    <w:rsid w:val="00CE2973"/>
    <w:rsid w:val="00CE478D"/>
    <w:rsid w:val="00CF282C"/>
    <w:rsid w:val="00CF2831"/>
    <w:rsid w:val="00CF4256"/>
    <w:rsid w:val="00D00BCB"/>
    <w:rsid w:val="00D020AC"/>
    <w:rsid w:val="00D041AB"/>
    <w:rsid w:val="00D0630B"/>
    <w:rsid w:val="00D1289D"/>
    <w:rsid w:val="00D14A30"/>
    <w:rsid w:val="00D16D6E"/>
    <w:rsid w:val="00D174CB"/>
    <w:rsid w:val="00D245BC"/>
    <w:rsid w:val="00D2653B"/>
    <w:rsid w:val="00D32C11"/>
    <w:rsid w:val="00D34275"/>
    <w:rsid w:val="00D361AA"/>
    <w:rsid w:val="00D40557"/>
    <w:rsid w:val="00D40917"/>
    <w:rsid w:val="00D44FD2"/>
    <w:rsid w:val="00D46009"/>
    <w:rsid w:val="00D559F2"/>
    <w:rsid w:val="00D6070B"/>
    <w:rsid w:val="00D650E4"/>
    <w:rsid w:val="00D7139E"/>
    <w:rsid w:val="00D72516"/>
    <w:rsid w:val="00D776D9"/>
    <w:rsid w:val="00D82340"/>
    <w:rsid w:val="00D92060"/>
    <w:rsid w:val="00D960D9"/>
    <w:rsid w:val="00DA4FFF"/>
    <w:rsid w:val="00DA7A80"/>
    <w:rsid w:val="00DB1F4F"/>
    <w:rsid w:val="00DB3030"/>
    <w:rsid w:val="00DB3D51"/>
    <w:rsid w:val="00DB3ED8"/>
    <w:rsid w:val="00DB44B2"/>
    <w:rsid w:val="00DB6D22"/>
    <w:rsid w:val="00DC0E58"/>
    <w:rsid w:val="00DC1F77"/>
    <w:rsid w:val="00DC3CAF"/>
    <w:rsid w:val="00DC4E3F"/>
    <w:rsid w:val="00DC5531"/>
    <w:rsid w:val="00DD14F7"/>
    <w:rsid w:val="00DD3EDB"/>
    <w:rsid w:val="00DD4684"/>
    <w:rsid w:val="00DE0D3D"/>
    <w:rsid w:val="00DE3BE6"/>
    <w:rsid w:val="00DE3DF9"/>
    <w:rsid w:val="00DE45C1"/>
    <w:rsid w:val="00DE4A4A"/>
    <w:rsid w:val="00DF038D"/>
    <w:rsid w:val="00DF29B6"/>
    <w:rsid w:val="00DF2DC5"/>
    <w:rsid w:val="00DF2F2F"/>
    <w:rsid w:val="00E00504"/>
    <w:rsid w:val="00E04F6C"/>
    <w:rsid w:val="00E058F7"/>
    <w:rsid w:val="00E11D0E"/>
    <w:rsid w:val="00E158E5"/>
    <w:rsid w:val="00E174F6"/>
    <w:rsid w:val="00E20ADC"/>
    <w:rsid w:val="00E21C76"/>
    <w:rsid w:val="00E22972"/>
    <w:rsid w:val="00E231A3"/>
    <w:rsid w:val="00E30F00"/>
    <w:rsid w:val="00E36C20"/>
    <w:rsid w:val="00E37C4B"/>
    <w:rsid w:val="00E40F0D"/>
    <w:rsid w:val="00E41D65"/>
    <w:rsid w:val="00E41DC5"/>
    <w:rsid w:val="00E4286B"/>
    <w:rsid w:val="00E4491C"/>
    <w:rsid w:val="00E52CC3"/>
    <w:rsid w:val="00E535CF"/>
    <w:rsid w:val="00E53B09"/>
    <w:rsid w:val="00E54A92"/>
    <w:rsid w:val="00E56AA9"/>
    <w:rsid w:val="00E57F6A"/>
    <w:rsid w:val="00E62AD0"/>
    <w:rsid w:val="00E63267"/>
    <w:rsid w:val="00E652F7"/>
    <w:rsid w:val="00E71A8C"/>
    <w:rsid w:val="00E76B22"/>
    <w:rsid w:val="00E77789"/>
    <w:rsid w:val="00E80AF5"/>
    <w:rsid w:val="00E817F0"/>
    <w:rsid w:val="00E83E12"/>
    <w:rsid w:val="00E84838"/>
    <w:rsid w:val="00E91D8B"/>
    <w:rsid w:val="00E92175"/>
    <w:rsid w:val="00E9336A"/>
    <w:rsid w:val="00E9509A"/>
    <w:rsid w:val="00E964C2"/>
    <w:rsid w:val="00E96ECD"/>
    <w:rsid w:val="00EA33FC"/>
    <w:rsid w:val="00EB090C"/>
    <w:rsid w:val="00EB1673"/>
    <w:rsid w:val="00EB298A"/>
    <w:rsid w:val="00EB4BCE"/>
    <w:rsid w:val="00EB65DA"/>
    <w:rsid w:val="00EC108E"/>
    <w:rsid w:val="00EC2F64"/>
    <w:rsid w:val="00EC39B3"/>
    <w:rsid w:val="00EC4394"/>
    <w:rsid w:val="00ED10D2"/>
    <w:rsid w:val="00ED21E1"/>
    <w:rsid w:val="00ED3B81"/>
    <w:rsid w:val="00ED3E50"/>
    <w:rsid w:val="00ED4588"/>
    <w:rsid w:val="00ED462F"/>
    <w:rsid w:val="00ED4AF7"/>
    <w:rsid w:val="00ED67B2"/>
    <w:rsid w:val="00ED78EE"/>
    <w:rsid w:val="00EE11EA"/>
    <w:rsid w:val="00EE2732"/>
    <w:rsid w:val="00EE2B21"/>
    <w:rsid w:val="00EE4353"/>
    <w:rsid w:val="00EE46E9"/>
    <w:rsid w:val="00EE4E46"/>
    <w:rsid w:val="00EE5FED"/>
    <w:rsid w:val="00EF042A"/>
    <w:rsid w:val="00EF0C5B"/>
    <w:rsid w:val="00EF4326"/>
    <w:rsid w:val="00EF4EF2"/>
    <w:rsid w:val="00EF5902"/>
    <w:rsid w:val="00EF5FF7"/>
    <w:rsid w:val="00F00D44"/>
    <w:rsid w:val="00F019E0"/>
    <w:rsid w:val="00F02CB4"/>
    <w:rsid w:val="00F05E99"/>
    <w:rsid w:val="00F07942"/>
    <w:rsid w:val="00F126E4"/>
    <w:rsid w:val="00F14FD1"/>
    <w:rsid w:val="00F216D1"/>
    <w:rsid w:val="00F21AE4"/>
    <w:rsid w:val="00F22F79"/>
    <w:rsid w:val="00F24AFC"/>
    <w:rsid w:val="00F25E63"/>
    <w:rsid w:val="00F302B9"/>
    <w:rsid w:val="00F30B41"/>
    <w:rsid w:val="00F330B5"/>
    <w:rsid w:val="00F36433"/>
    <w:rsid w:val="00F36E7D"/>
    <w:rsid w:val="00F37944"/>
    <w:rsid w:val="00F40683"/>
    <w:rsid w:val="00F43E18"/>
    <w:rsid w:val="00F46460"/>
    <w:rsid w:val="00F47ACB"/>
    <w:rsid w:val="00F52038"/>
    <w:rsid w:val="00F54569"/>
    <w:rsid w:val="00F55ED1"/>
    <w:rsid w:val="00F60368"/>
    <w:rsid w:val="00F60AA7"/>
    <w:rsid w:val="00F60B4F"/>
    <w:rsid w:val="00F6100E"/>
    <w:rsid w:val="00F6303E"/>
    <w:rsid w:val="00F644E8"/>
    <w:rsid w:val="00F748D0"/>
    <w:rsid w:val="00F77371"/>
    <w:rsid w:val="00F77F31"/>
    <w:rsid w:val="00F80D05"/>
    <w:rsid w:val="00F81FBF"/>
    <w:rsid w:val="00F845BD"/>
    <w:rsid w:val="00F940E7"/>
    <w:rsid w:val="00FA112A"/>
    <w:rsid w:val="00FA21E5"/>
    <w:rsid w:val="00FA25A4"/>
    <w:rsid w:val="00FA2A4F"/>
    <w:rsid w:val="00FA3D87"/>
    <w:rsid w:val="00FA559A"/>
    <w:rsid w:val="00FA592F"/>
    <w:rsid w:val="00FA5ACA"/>
    <w:rsid w:val="00FA7BE2"/>
    <w:rsid w:val="00FB0826"/>
    <w:rsid w:val="00FB39CE"/>
    <w:rsid w:val="00FB59D6"/>
    <w:rsid w:val="00FB63FB"/>
    <w:rsid w:val="00FB7DF2"/>
    <w:rsid w:val="00FC1696"/>
    <w:rsid w:val="00FC1972"/>
    <w:rsid w:val="00FC2485"/>
    <w:rsid w:val="00FC3160"/>
    <w:rsid w:val="00FD3188"/>
    <w:rsid w:val="00FD56E5"/>
    <w:rsid w:val="00FD6D06"/>
    <w:rsid w:val="00FD747F"/>
    <w:rsid w:val="00FE0B2B"/>
    <w:rsid w:val="00FE4D4E"/>
    <w:rsid w:val="00FE6D21"/>
    <w:rsid w:val="00FE7809"/>
    <w:rsid w:val="00FF0FDA"/>
    <w:rsid w:val="00FF1E5D"/>
    <w:rsid w:val="00FF414B"/>
    <w:rsid w:val="00FF43AB"/>
    <w:rsid w:val="00FF47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ABED42-C2F6-4CD8-AEDE-508F5BFF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446B"/>
    <w:rPr>
      <w:rFonts w:ascii="Times New Roman" w:eastAsia="Times New Roman" w:hAnsi="Times New Roman"/>
      <w:sz w:val="24"/>
      <w:szCs w:val="24"/>
    </w:rPr>
  </w:style>
  <w:style w:type="paragraph" w:styleId="Nagwek1">
    <w:name w:val="heading 1"/>
    <w:basedOn w:val="Normalny"/>
    <w:link w:val="Nagwek1Znak"/>
    <w:uiPriority w:val="9"/>
    <w:qFormat/>
    <w:rsid w:val="0014483E"/>
    <w:pPr>
      <w:keepNext/>
      <w:spacing w:before="240" w:after="60" w:line="360" w:lineRule="atLeast"/>
      <w:jc w:val="both"/>
      <w:outlineLvl w:val="0"/>
    </w:pPr>
    <w:rPr>
      <w:rFonts w:ascii="Arial" w:eastAsia="Calibri" w:hAnsi="Arial"/>
      <w:b/>
      <w:bCs/>
      <w:kern w:val="36"/>
      <w:sz w:val="32"/>
      <w:szCs w:val="32"/>
      <w:lang w:val="x-none" w:eastAsia="x-none"/>
    </w:rPr>
  </w:style>
  <w:style w:type="paragraph" w:styleId="Nagwek2">
    <w:name w:val="heading 2"/>
    <w:basedOn w:val="Normalny"/>
    <w:next w:val="Normalny"/>
    <w:link w:val="Nagwek2Znak"/>
    <w:uiPriority w:val="9"/>
    <w:unhideWhenUsed/>
    <w:qFormat/>
    <w:rsid w:val="00E37C4B"/>
    <w:pPr>
      <w:keepNext/>
      <w:spacing w:before="240" w:after="60"/>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446B"/>
    <w:pPr>
      <w:ind w:left="720"/>
      <w:contextualSpacing/>
    </w:pPr>
  </w:style>
  <w:style w:type="table" w:styleId="Tabela-Siatka">
    <w:name w:val="Table Grid"/>
    <w:basedOn w:val="Standardowy"/>
    <w:uiPriority w:val="59"/>
    <w:rsid w:val="002F1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6E79AF"/>
    <w:rPr>
      <w:sz w:val="16"/>
      <w:szCs w:val="16"/>
    </w:rPr>
  </w:style>
  <w:style w:type="paragraph" w:styleId="Tekstkomentarza">
    <w:name w:val="annotation text"/>
    <w:basedOn w:val="Normalny"/>
    <w:link w:val="TekstkomentarzaZnak"/>
    <w:uiPriority w:val="99"/>
    <w:unhideWhenUsed/>
    <w:rsid w:val="006E79AF"/>
    <w:rPr>
      <w:sz w:val="20"/>
      <w:szCs w:val="20"/>
      <w:lang w:val="x-none"/>
    </w:rPr>
  </w:style>
  <w:style w:type="character" w:customStyle="1" w:styleId="TekstkomentarzaZnak">
    <w:name w:val="Tekst komentarza Znak"/>
    <w:link w:val="Tekstkomentarza"/>
    <w:uiPriority w:val="99"/>
    <w:rsid w:val="006E79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79AF"/>
    <w:rPr>
      <w:b/>
      <w:bCs/>
    </w:rPr>
  </w:style>
  <w:style w:type="character" w:customStyle="1" w:styleId="TematkomentarzaZnak">
    <w:name w:val="Temat komentarza Znak"/>
    <w:link w:val="Tematkomentarza"/>
    <w:uiPriority w:val="99"/>
    <w:semiHidden/>
    <w:rsid w:val="006E79A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E79AF"/>
    <w:rPr>
      <w:rFonts w:ascii="Tahoma" w:hAnsi="Tahoma"/>
      <w:sz w:val="16"/>
      <w:szCs w:val="16"/>
      <w:lang w:val="x-none"/>
    </w:rPr>
  </w:style>
  <w:style w:type="character" w:customStyle="1" w:styleId="TekstdymkaZnak">
    <w:name w:val="Tekst dymka Znak"/>
    <w:link w:val="Tekstdymka"/>
    <w:uiPriority w:val="99"/>
    <w:semiHidden/>
    <w:rsid w:val="006E79AF"/>
    <w:rPr>
      <w:rFonts w:ascii="Tahoma" w:eastAsia="Times New Roman" w:hAnsi="Tahoma" w:cs="Tahoma"/>
      <w:sz w:val="16"/>
      <w:szCs w:val="16"/>
      <w:lang w:eastAsia="pl-PL"/>
    </w:rPr>
  </w:style>
  <w:style w:type="paragraph" w:customStyle="1" w:styleId="uchwalatytul">
    <w:name w:val="uchwalatytul"/>
    <w:basedOn w:val="Normalny"/>
    <w:rsid w:val="00E54A92"/>
    <w:pPr>
      <w:spacing w:before="100" w:beforeAutospacing="1" w:after="100" w:afterAutospacing="1"/>
    </w:pPr>
  </w:style>
  <w:style w:type="character" w:customStyle="1" w:styleId="Nagwek1Znak">
    <w:name w:val="Nagłówek 1 Znak"/>
    <w:link w:val="Nagwek1"/>
    <w:uiPriority w:val="9"/>
    <w:rsid w:val="0014483E"/>
    <w:rPr>
      <w:rFonts w:ascii="Arial" w:hAnsi="Arial" w:cs="Arial"/>
      <w:b/>
      <w:bCs/>
      <w:kern w:val="36"/>
      <w:sz w:val="32"/>
      <w:szCs w:val="32"/>
    </w:rPr>
  </w:style>
  <w:style w:type="paragraph" w:customStyle="1" w:styleId="wysrodkowany">
    <w:name w:val="wysrodkowany"/>
    <w:basedOn w:val="Normalny"/>
    <w:rsid w:val="00EE4353"/>
    <w:pPr>
      <w:spacing w:before="100" w:beforeAutospacing="1" w:after="100" w:afterAutospacing="1"/>
    </w:pPr>
  </w:style>
  <w:style w:type="character" w:styleId="Pogrubienie">
    <w:name w:val="Strong"/>
    <w:uiPriority w:val="22"/>
    <w:qFormat/>
    <w:rsid w:val="00EE4353"/>
    <w:rPr>
      <w:b/>
      <w:bCs/>
    </w:rPr>
  </w:style>
  <w:style w:type="character" w:customStyle="1" w:styleId="Nagwek2Znak">
    <w:name w:val="Nagłówek 2 Znak"/>
    <w:link w:val="Nagwek2"/>
    <w:uiPriority w:val="9"/>
    <w:rsid w:val="00E37C4B"/>
    <w:rPr>
      <w:rFonts w:ascii="Cambria" w:eastAsia="Times New Roman" w:hAnsi="Cambria" w:cs="Times New Roman"/>
      <w:b/>
      <w:bCs/>
      <w:i/>
      <w:iCs/>
      <w:sz w:val="28"/>
      <w:szCs w:val="28"/>
    </w:rPr>
  </w:style>
  <w:style w:type="character" w:styleId="Uwydatnienie">
    <w:name w:val="Emphasis"/>
    <w:uiPriority w:val="20"/>
    <w:qFormat/>
    <w:rsid w:val="00217C51"/>
    <w:rPr>
      <w:i/>
      <w:iCs/>
    </w:rPr>
  </w:style>
  <w:style w:type="paragraph" w:styleId="Bezodstpw">
    <w:name w:val="No Spacing"/>
    <w:uiPriority w:val="1"/>
    <w:qFormat/>
    <w:rsid w:val="00EF4EF2"/>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1076">
      <w:bodyDiv w:val="1"/>
      <w:marLeft w:val="0"/>
      <w:marRight w:val="0"/>
      <w:marTop w:val="0"/>
      <w:marBottom w:val="0"/>
      <w:divBdr>
        <w:top w:val="none" w:sz="0" w:space="0" w:color="auto"/>
        <w:left w:val="none" w:sz="0" w:space="0" w:color="auto"/>
        <w:bottom w:val="none" w:sz="0" w:space="0" w:color="auto"/>
        <w:right w:val="none" w:sz="0" w:space="0" w:color="auto"/>
      </w:divBdr>
    </w:div>
    <w:div w:id="82840407">
      <w:bodyDiv w:val="1"/>
      <w:marLeft w:val="0"/>
      <w:marRight w:val="0"/>
      <w:marTop w:val="0"/>
      <w:marBottom w:val="0"/>
      <w:divBdr>
        <w:top w:val="none" w:sz="0" w:space="0" w:color="auto"/>
        <w:left w:val="none" w:sz="0" w:space="0" w:color="auto"/>
        <w:bottom w:val="none" w:sz="0" w:space="0" w:color="auto"/>
        <w:right w:val="none" w:sz="0" w:space="0" w:color="auto"/>
      </w:divBdr>
    </w:div>
    <w:div w:id="229658152">
      <w:bodyDiv w:val="1"/>
      <w:marLeft w:val="0"/>
      <w:marRight w:val="0"/>
      <w:marTop w:val="0"/>
      <w:marBottom w:val="0"/>
      <w:divBdr>
        <w:top w:val="none" w:sz="0" w:space="0" w:color="auto"/>
        <w:left w:val="none" w:sz="0" w:space="0" w:color="auto"/>
        <w:bottom w:val="none" w:sz="0" w:space="0" w:color="auto"/>
        <w:right w:val="none" w:sz="0" w:space="0" w:color="auto"/>
      </w:divBdr>
    </w:div>
    <w:div w:id="265037840">
      <w:bodyDiv w:val="1"/>
      <w:marLeft w:val="0"/>
      <w:marRight w:val="0"/>
      <w:marTop w:val="0"/>
      <w:marBottom w:val="0"/>
      <w:divBdr>
        <w:top w:val="none" w:sz="0" w:space="0" w:color="auto"/>
        <w:left w:val="none" w:sz="0" w:space="0" w:color="auto"/>
        <w:bottom w:val="none" w:sz="0" w:space="0" w:color="auto"/>
        <w:right w:val="none" w:sz="0" w:space="0" w:color="auto"/>
      </w:divBdr>
    </w:div>
    <w:div w:id="321541778">
      <w:bodyDiv w:val="1"/>
      <w:marLeft w:val="0"/>
      <w:marRight w:val="0"/>
      <w:marTop w:val="0"/>
      <w:marBottom w:val="0"/>
      <w:divBdr>
        <w:top w:val="none" w:sz="0" w:space="0" w:color="auto"/>
        <w:left w:val="none" w:sz="0" w:space="0" w:color="auto"/>
        <w:bottom w:val="none" w:sz="0" w:space="0" w:color="auto"/>
        <w:right w:val="none" w:sz="0" w:space="0" w:color="auto"/>
      </w:divBdr>
    </w:div>
    <w:div w:id="538930432">
      <w:bodyDiv w:val="1"/>
      <w:marLeft w:val="0"/>
      <w:marRight w:val="0"/>
      <w:marTop w:val="0"/>
      <w:marBottom w:val="0"/>
      <w:divBdr>
        <w:top w:val="none" w:sz="0" w:space="0" w:color="auto"/>
        <w:left w:val="none" w:sz="0" w:space="0" w:color="auto"/>
        <w:bottom w:val="none" w:sz="0" w:space="0" w:color="auto"/>
        <w:right w:val="none" w:sz="0" w:space="0" w:color="auto"/>
      </w:divBdr>
    </w:div>
    <w:div w:id="553584941">
      <w:bodyDiv w:val="1"/>
      <w:marLeft w:val="0"/>
      <w:marRight w:val="0"/>
      <w:marTop w:val="0"/>
      <w:marBottom w:val="0"/>
      <w:divBdr>
        <w:top w:val="none" w:sz="0" w:space="0" w:color="auto"/>
        <w:left w:val="none" w:sz="0" w:space="0" w:color="auto"/>
        <w:bottom w:val="none" w:sz="0" w:space="0" w:color="auto"/>
        <w:right w:val="none" w:sz="0" w:space="0" w:color="auto"/>
      </w:divBdr>
      <w:divsChild>
        <w:div w:id="1954091520">
          <w:marLeft w:val="0"/>
          <w:marRight w:val="0"/>
          <w:marTop w:val="0"/>
          <w:marBottom w:val="0"/>
          <w:divBdr>
            <w:top w:val="none" w:sz="0" w:space="0" w:color="auto"/>
            <w:left w:val="none" w:sz="0" w:space="0" w:color="auto"/>
            <w:bottom w:val="none" w:sz="0" w:space="0" w:color="auto"/>
            <w:right w:val="none" w:sz="0" w:space="0" w:color="auto"/>
          </w:divBdr>
        </w:div>
      </w:divsChild>
    </w:div>
    <w:div w:id="588471236">
      <w:bodyDiv w:val="1"/>
      <w:marLeft w:val="0"/>
      <w:marRight w:val="0"/>
      <w:marTop w:val="0"/>
      <w:marBottom w:val="0"/>
      <w:divBdr>
        <w:top w:val="none" w:sz="0" w:space="0" w:color="auto"/>
        <w:left w:val="none" w:sz="0" w:space="0" w:color="auto"/>
        <w:bottom w:val="none" w:sz="0" w:space="0" w:color="auto"/>
        <w:right w:val="none" w:sz="0" w:space="0" w:color="auto"/>
      </w:divBdr>
    </w:div>
    <w:div w:id="611789836">
      <w:bodyDiv w:val="1"/>
      <w:marLeft w:val="0"/>
      <w:marRight w:val="0"/>
      <w:marTop w:val="0"/>
      <w:marBottom w:val="0"/>
      <w:divBdr>
        <w:top w:val="none" w:sz="0" w:space="0" w:color="auto"/>
        <w:left w:val="none" w:sz="0" w:space="0" w:color="auto"/>
        <w:bottom w:val="none" w:sz="0" w:space="0" w:color="auto"/>
        <w:right w:val="none" w:sz="0" w:space="0" w:color="auto"/>
      </w:divBdr>
    </w:div>
    <w:div w:id="763844640">
      <w:bodyDiv w:val="1"/>
      <w:marLeft w:val="0"/>
      <w:marRight w:val="0"/>
      <w:marTop w:val="0"/>
      <w:marBottom w:val="0"/>
      <w:divBdr>
        <w:top w:val="none" w:sz="0" w:space="0" w:color="auto"/>
        <w:left w:val="none" w:sz="0" w:space="0" w:color="auto"/>
        <w:bottom w:val="none" w:sz="0" w:space="0" w:color="auto"/>
        <w:right w:val="none" w:sz="0" w:space="0" w:color="auto"/>
      </w:divBdr>
    </w:div>
    <w:div w:id="838890977">
      <w:bodyDiv w:val="1"/>
      <w:marLeft w:val="0"/>
      <w:marRight w:val="0"/>
      <w:marTop w:val="0"/>
      <w:marBottom w:val="0"/>
      <w:divBdr>
        <w:top w:val="none" w:sz="0" w:space="0" w:color="auto"/>
        <w:left w:val="none" w:sz="0" w:space="0" w:color="auto"/>
        <w:bottom w:val="none" w:sz="0" w:space="0" w:color="auto"/>
        <w:right w:val="none" w:sz="0" w:space="0" w:color="auto"/>
      </w:divBdr>
    </w:div>
    <w:div w:id="871649208">
      <w:bodyDiv w:val="1"/>
      <w:marLeft w:val="0"/>
      <w:marRight w:val="0"/>
      <w:marTop w:val="0"/>
      <w:marBottom w:val="0"/>
      <w:divBdr>
        <w:top w:val="none" w:sz="0" w:space="0" w:color="auto"/>
        <w:left w:val="none" w:sz="0" w:space="0" w:color="auto"/>
        <w:bottom w:val="none" w:sz="0" w:space="0" w:color="auto"/>
        <w:right w:val="none" w:sz="0" w:space="0" w:color="auto"/>
      </w:divBdr>
      <w:divsChild>
        <w:div w:id="2079134926">
          <w:marLeft w:val="0"/>
          <w:marRight w:val="0"/>
          <w:marTop w:val="0"/>
          <w:marBottom w:val="0"/>
          <w:divBdr>
            <w:top w:val="none" w:sz="0" w:space="0" w:color="auto"/>
            <w:left w:val="none" w:sz="0" w:space="0" w:color="auto"/>
            <w:bottom w:val="none" w:sz="0" w:space="0" w:color="auto"/>
            <w:right w:val="none" w:sz="0" w:space="0" w:color="auto"/>
          </w:divBdr>
          <w:divsChild>
            <w:div w:id="1215120255">
              <w:marLeft w:val="0"/>
              <w:marRight w:val="0"/>
              <w:marTop w:val="0"/>
              <w:marBottom w:val="0"/>
              <w:divBdr>
                <w:top w:val="none" w:sz="0" w:space="0" w:color="auto"/>
                <w:left w:val="none" w:sz="0" w:space="0" w:color="auto"/>
                <w:bottom w:val="none" w:sz="0" w:space="0" w:color="auto"/>
                <w:right w:val="none" w:sz="0" w:space="0" w:color="auto"/>
              </w:divBdr>
              <w:divsChild>
                <w:div w:id="9136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86225">
      <w:bodyDiv w:val="1"/>
      <w:marLeft w:val="0"/>
      <w:marRight w:val="0"/>
      <w:marTop w:val="0"/>
      <w:marBottom w:val="0"/>
      <w:divBdr>
        <w:top w:val="none" w:sz="0" w:space="0" w:color="auto"/>
        <w:left w:val="none" w:sz="0" w:space="0" w:color="auto"/>
        <w:bottom w:val="none" w:sz="0" w:space="0" w:color="auto"/>
        <w:right w:val="none" w:sz="0" w:space="0" w:color="auto"/>
      </w:divBdr>
    </w:div>
    <w:div w:id="993145358">
      <w:bodyDiv w:val="1"/>
      <w:marLeft w:val="0"/>
      <w:marRight w:val="0"/>
      <w:marTop w:val="0"/>
      <w:marBottom w:val="0"/>
      <w:divBdr>
        <w:top w:val="none" w:sz="0" w:space="0" w:color="auto"/>
        <w:left w:val="none" w:sz="0" w:space="0" w:color="auto"/>
        <w:bottom w:val="none" w:sz="0" w:space="0" w:color="auto"/>
        <w:right w:val="none" w:sz="0" w:space="0" w:color="auto"/>
      </w:divBdr>
      <w:divsChild>
        <w:div w:id="1598756061">
          <w:marLeft w:val="0"/>
          <w:marRight w:val="0"/>
          <w:marTop w:val="0"/>
          <w:marBottom w:val="0"/>
          <w:divBdr>
            <w:top w:val="none" w:sz="0" w:space="0" w:color="auto"/>
            <w:left w:val="none" w:sz="0" w:space="0" w:color="auto"/>
            <w:bottom w:val="none" w:sz="0" w:space="0" w:color="auto"/>
            <w:right w:val="none" w:sz="0" w:space="0" w:color="auto"/>
          </w:divBdr>
        </w:div>
        <w:div w:id="2021806894">
          <w:marLeft w:val="300"/>
          <w:marRight w:val="0"/>
          <w:marTop w:val="0"/>
          <w:marBottom w:val="0"/>
          <w:divBdr>
            <w:top w:val="none" w:sz="0" w:space="0" w:color="auto"/>
            <w:left w:val="none" w:sz="0" w:space="0" w:color="auto"/>
            <w:bottom w:val="none" w:sz="0" w:space="0" w:color="auto"/>
            <w:right w:val="none" w:sz="0" w:space="0" w:color="auto"/>
          </w:divBdr>
        </w:div>
      </w:divsChild>
    </w:div>
    <w:div w:id="1078861757">
      <w:bodyDiv w:val="1"/>
      <w:marLeft w:val="0"/>
      <w:marRight w:val="0"/>
      <w:marTop w:val="0"/>
      <w:marBottom w:val="0"/>
      <w:divBdr>
        <w:top w:val="none" w:sz="0" w:space="0" w:color="auto"/>
        <w:left w:val="none" w:sz="0" w:space="0" w:color="auto"/>
        <w:bottom w:val="none" w:sz="0" w:space="0" w:color="auto"/>
        <w:right w:val="none" w:sz="0" w:space="0" w:color="auto"/>
      </w:divBdr>
    </w:div>
    <w:div w:id="1102870647">
      <w:bodyDiv w:val="1"/>
      <w:marLeft w:val="0"/>
      <w:marRight w:val="0"/>
      <w:marTop w:val="0"/>
      <w:marBottom w:val="0"/>
      <w:divBdr>
        <w:top w:val="none" w:sz="0" w:space="0" w:color="auto"/>
        <w:left w:val="none" w:sz="0" w:space="0" w:color="auto"/>
        <w:bottom w:val="none" w:sz="0" w:space="0" w:color="auto"/>
        <w:right w:val="none" w:sz="0" w:space="0" w:color="auto"/>
      </w:divBdr>
    </w:div>
    <w:div w:id="1104879250">
      <w:bodyDiv w:val="1"/>
      <w:marLeft w:val="0"/>
      <w:marRight w:val="0"/>
      <w:marTop w:val="0"/>
      <w:marBottom w:val="0"/>
      <w:divBdr>
        <w:top w:val="none" w:sz="0" w:space="0" w:color="auto"/>
        <w:left w:val="none" w:sz="0" w:space="0" w:color="auto"/>
        <w:bottom w:val="none" w:sz="0" w:space="0" w:color="auto"/>
        <w:right w:val="none" w:sz="0" w:space="0" w:color="auto"/>
      </w:divBdr>
    </w:div>
    <w:div w:id="1157116511">
      <w:bodyDiv w:val="1"/>
      <w:marLeft w:val="0"/>
      <w:marRight w:val="0"/>
      <w:marTop w:val="0"/>
      <w:marBottom w:val="0"/>
      <w:divBdr>
        <w:top w:val="none" w:sz="0" w:space="0" w:color="auto"/>
        <w:left w:val="none" w:sz="0" w:space="0" w:color="auto"/>
        <w:bottom w:val="none" w:sz="0" w:space="0" w:color="auto"/>
        <w:right w:val="none" w:sz="0" w:space="0" w:color="auto"/>
      </w:divBdr>
    </w:div>
    <w:div w:id="1160855083">
      <w:bodyDiv w:val="1"/>
      <w:marLeft w:val="0"/>
      <w:marRight w:val="0"/>
      <w:marTop w:val="0"/>
      <w:marBottom w:val="0"/>
      <w:divBdr>
        <w:top w:val="none" w:sz="0" w:space="0" w:color="auto"/>
        <w:left w:val="none" w:sz="0" w:space="0" w:color="auto"/>
        <w:bottom w:val="none" w:sz="0" w:space="0" w:color="auto"/>
        <w:right w:val="none" w:sz="0" w:space="0" w:color="auto"/>
      </w:divBdr>
    </w:div>
    <w:div w:id="1240485745">
      <w:bodyDiv w:val="1"/>
      <w:marLeft w:val="0"/>
      <w:marRight w:val="0"/>
      <w:marTop w:val="0"/>
      <w:marBottom w:val="0"/>
      <w:divBdr>
        <w:top w:val="none" w:sz="0" w:space="0" w:color="auto"/>
        <w:left w:val="none" w:sz="0" w:space="0" w:color="auto"/>
        <w:bottom w:val="none" w:sz="0" w:space="0" w:color="auto"/>
        <w:right w:val="none" w:sz="0" w:space="0" w:color="auto"/>
      </w:divBdr>
    </w:div>
    <w:div w:id="1244074022">
      <w:bodyDiv w:val="1"/>
      <w:marLeft w:val="0"/>
      <w:marRight w:val="0"/>
      <w:marTop w:val="0"/>
      <w:marBottom w:val="0"/>
      <w:divBdr>
        <w:top w:val="none" w:sz="0" w:space="0" w:color="auto"/>
        <w:left w:val="none" w:sz="0" w:space="0" w:color="auto"/>
        <w:bottom w:val="none" w:sz="0" w:space="0" w:color="auto"/>
        <w:right w:val="none" w:sz="0" w:space="0" w:color="auto"/>
      </w:divBdr>
    </w:div>
    <w:div w:id="1301573663">
      <w:bodyDiv w:val="1"/>
      <w:marLeft w:val="0"/>
      <w:marRight w:val="0"/>
      <w:marTop w:val="0"/>
      <w:marBottom w:val="0"/>
      <w:divBdr>
        <w:top w:val="none" w:sz="0" w:space="0" w:color="auto"/>
        <w:left w:val="none" w:sz="0" w:space="0" w:color="auto"/>
        <w:bottom w:val="none" w:sz="0" w:space="0" w:color="auto"/>
        <w:right w:val="none" w:sz="0" w:space="0" w:color="auto"/>
      </w:divBdr>
    </w:div>
    <w:div w:id="1458060700">
      <w:bodyDiv w:val="1"/>
      <w:marLeft w:val="0"/>
      <w:marRight w:val="0"/>
      <w:marTop w:val="0"/>
      <w:marBottom w:val="0"/>
      <w:divBdr>
        <w:top w:val="none" w:sz="0" w:space="0" w:color="auto"/>
        <w:left w:val="none" w:sz="0" w:space="0" w:color="auto"/>
        <w:bottom w:val="none" w:sz="0" w:space="0" w:color="auto"/>
        <w:right w:val="none" w:sz="0" w:space="0" w:color="auto"/>
      </w:divBdr>
    </w:div>
    <w:div w:id="1618099535">
      <w:bodyDiv w:val="1"/>
      <w:marLeft w:val="0"/>
      <w:marRight w:val="0"/>
      <w:marTop w:val="0"/>
      <w:marBottom w:val="0"/>
      <w:divBdr>
        <w:top w:val="none" w:sz="0" w:space="0" w:color="auto"/>
        <w:left w:val="none" w:sz="0" w:space="0" w:color="auto"/>
        <w:bottom w:val="none" w:sz="0" w:space="0" w:color="auto"/>
        <w:right w:val="none" w:sz="0" w:space="0" w:color="auto"/>
      </w:divBdr>
    </w:div>
    <w:div w:id="1629125229">
      <w:bodyDiv w:val="1"/>
      <w:marLeft w:val="165"/>
      <w:marRight w:val="165"/>
      <w:marTop w:val="165"/>
      <w:marBottom w:val="165"/>
      <w:divBdr>
        <w:top w:val="none" w:sz="0" w:space="0" w:color="auto"/>
        <w:left w:val="none" w:sz="0" w:space="0" w:color="auto"/>
        <w:bottom w:val="none" w:sz="0" w:space="0" w:color="auto"/>
        <w:right w:val="none" w:sz="0" w:space="0" w:color="auto"/>
      </w:divBdr>
      <w:divsChild>
        <w:div w:id="1537042842">
          <w:marLeft w:val="0"/>
          <w:marRight w:val="0"/>
          <w:marTop w:val="0"/>
          <w:marBottom w:val="0"/>
          <w:divBdr>
            <w:top w:val="none" w:sz="0" w:space="0" w:color="auto"/>
            <w:left w:val="none" w:sz="0" w:space="0" w:color="auto"/>
            <w:bottom w:val="none" w:sz="0" w:space="0" w:color="auto"/>
            <w:right w:val="none" w:sz="0" w:space="0" w:color="auto"/>
          </w:divBdr>
          <w:divsChild>
            <w:div w:id="46270450">
              <w:marLeft w:val="0"/>
              <w:marRight w:val="0"/>
              <w:marTop w:val="0"/>
              <w:marBottom w:val="0"/>
              <w:divBdr>
                <w:top w:val="none" w:sz="0" w:space="0" w:color="auto"/>
                <w:left w:val="none" w:sz="0" w:space="0" w:color="auto"/>
                <w:bottom w:val="none" w:sz="0" w:space="0" w:color="auto"/>
                <w:right w:val="none" w:sz="0" w:space="0" w:color="auto"/>
              </w:divBdr>
              <w:divsChild>
                <w:div w:id="1579443707">
                  <w:marLeft w:val="0"/>
                  <w:marRight w:val="0"/>
                  <w:marTop w:val="0"/>
                  <w:marBottom w:val="0"/>
                  <w:divBdr>
                    <w:top w:val="none" w:sz="0" w:space="0" w:color="auto"/>
                    <w:left w:val="none" w:sz="0" w:space="0" w:color="auto"/>
                    <w:bottom w:val="none" w:sz="0" w:space="0" w:color="auto"/>
                    <w:right w:val="none" w:sz="0" w:space="0" w:color="auto"/>
                  </w:divBdr>
                  <w:divsChild>
                    <w:div w:id="1015883024">
                      <w:marLeft w:val="0"/>
                      <w:marRight w:val="225"/>
                      <w:marTop w:val="0"/>
                      <w:marBottom w:val="0"/>
                      <w:divBdr>
                        <w:top w:val="none" w:sz="0" w:space="0" w:color="auto"/>
                        <w:left w:val="none" w:sz="0" w:space="0" w:color="auto"/>
                        <w:bottom w:val="none" w:sz="0" w:space="0" w:color="auto"/>
                        <w:right w:val="none" w:sz="0" w:space="0" w:color="auto"/>
                      </w:divBdr>
                      <w:divsChild>
                        <w:div w:id="94196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2060217">
      <w:bodyDiv w:val="1"/>
      <w:marLeft w:val="0"/>
      <w:marRight w:val="0"/>
      <w:marTop w:val="0"/>
      <w:marBottom w:val="0"/>
      <w:divBdr>
        <w:top w:val="none" w:sz="0" w:space="0" w:color="auto"/>
        <w:left w:val="none" w:sz="0" w:space="0" w:color="auto"/>
        <w:bottom w:val="none" w:sz="0" w:space="0" w:color="auto"/>
        <w:right w:val="none" w:sz="0" w:space="0" w:color="auto"/>
      </w:divBdr>
    </w:div>
    <w:div w:id="1679845390">
      <w:bodyDiv w:val="1"/>
      <w:marLeft w:val="0"/>
      <w:marRight w:val="0"/>
      <w:marTop w:val="0"/>
      <w:marBottom w:val="0"/>
      <w:divBdr>
        <w:top w:val="none" w:sz="0" w:space="0" w:color="auto"/>
        <w:left w:val="none" w:sz="0" w:space="0" w:color="auto"/>
        <w:bottom w:val="none" w:sz="0" w:space="0" w:color="auto"/>
        <w:right w:val="none" w:sz="0" w:space="0" w:color="auto"/>
      </w:divBdr>
    </w:div>
    <w:div w:id="1754737706">
      <w:bodyDiv w:val="1"/>
      <w:marLeft w:val="0"/>
      <w:marRight w:val="0"/>
      <w:marTop w:val="0"/>
      <w:marBottom w:val="0"/>
      <w:divBdr>
        <w:top w:val="none" w:sz="0" w:space="0" w:color="auto"/>
        <w:left w:val="none" w:sz="0" w:space="0" w:color="auto"/>
        <w:bottom w:val="none" w:sz="0" w:space="0" w:color="auto"/>
        <w:right w:val="none" w:sz="0" w:space="0" w:color="auto"/>
      </w:divBdr>
    </w:div>
    <w:div w:id="1774326355">
      <w:bodyDiv w:val="1"/>
      <w:marLeft w:val="0"/>
      <w:marRight w:val="0"/>
      <w:marTop w:val="0"/>
      <w:marBottom w:val="0"/>
      <w:divBdr>
        <w:top w:val="none" w:sz="0" w:space="0" w:color="auto"/>
        <w:left w:val="none" w:sz="0" w:space="0" w:color="auto"/>
        <w:bottom w:val="none" w:sz="0" w:space="0" w:color="auto"/>
        <w:right w:val="none" w:sz="0" w:space="0" w:color="auto"/>
      </w:divBdr>
      <w:divsChild>
        <w:div w:id="1222327620">
          <w:marLeft w:val="0"/>
          <w:marRight w:val="0"/>
          <w:marTop w:val="0"/>
          <w:marBottom w:val="0"/>
          <w:divBdr>
            <w:top w:val="none" w:sz="0" w:space="0" w:color="auto"/>
            <w:left w:val="none" w:sz="0" w:space="0" w:color="auto"/>
            <w:bottom w:val="none" w:sz="0" w:space="0" w:color="auto"/>
            <w:right w:val="none" w:sz="0" w:space="0" w:color="auto"/>
          </w:divBdr>
          <w:divsChild>
            <w:div w:id="709690046">
              <w:marLeft w:val="0"/>
              <w:marRight w:val="0"/>
              <w:marTop w:val="0"/>
              <w:marBottom w:val="0"/>
              <w:divBdr>
                <w:top w:val="none" w:sz="0" w:space="0" w:color="auto"/>
                <w:left w:val="none" w:sz="0" w:space="0" w:color="auto"/>
                <w:bottom w:val="none" w:sz="0" w:space="0" w:color="auto"/>
                <w:right w:val="none" w:sz="0" w:space="0" w:color="auto"/>
              </w:divBdr>
              <w:divsChild>
                <w:div w:id="65838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299028">
      <w:bodyDiv w:val="1"/>
      <w:marLeft w:val="0"/>
      <w:marRight w:val="0"/>
      <w:marTop w:val="0"/>
      <w:marBottom w:val="0"/>
      <w:divBdr>
        <w:top w:val="none" w:sz="0" w:space="0" w:color="auto"/>
        <w:left w:val="none" w:sz="0" w:space="0" w:color="auto"/>
        <w:bottom w:val="none" w:sz="0" w:space="0" w:color="auto"/>
        <w:right w:val="none" w:sz="0" w:space="0" w:color="auto"/>
      </w:divBdr>
    </w:div>
    <w:div w:id="2041347262">
      <w:bodyDiv w:val="1"/>
      <w:marLeft w:val="0"/>
      <w:marRight w:val="0"/>
      <w:marTop w:val="0"/>
      <w:marBottom w:val="0"/>
      <w:divBdr>
        <w:top w:val="none" w:sz="0" w:space="0" w:color="auto"/>
        <w:left w:val="none" w:sz="0" w:space="0" w:color="auto"/>
        <w:bottom w:val="none" w:sz="0" w:space="0" w:color="auto"/>
        <w:right w:val="none" w:sz="0" w:space="0" w:color="auto"/>
      </w:divBdr>
    </w:div>
    <w:div w:id="2122020892">
      <w:bodyDiv w:val="1"/>
      <w:marLeft w:val="0"/>
      <w:marRight w:val="0"/>
      <w:marTop w:val="0"/>
      <w:marBottom w:val="0"/>
      <w:divBdr>
        <w:top w:val="none" w:sz="0" w:space="0" w:color="auto"/>
        <w:left w:val="none" w:sz="0" w:space="0" w:color="auto"/>
        <w:bottom w:val="none" w:sz="0" w:space="0" w:color="auto"/>
        <w:right w:val="none" w:sz="0" w:space="0" w:color="auto"/>
      </w:divBdr>
    </w:div>
    <w:div w:id="213359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9947B-8DC3-4386-9643-4841EB24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1155</Words>
  <Characters>6936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Wolnicka Agata</cp:lastModifiedBy>
  <cp:revision>6</cp:revision>
  <cp:lastPrinted>2020-02-28T08:06:00Z</cp:lastPrinted>
  <dcterms:created xsi:type="dcterms:W3CDTF">2020-02-28T08:11:00Z</dcterms:created>
  <dcterms:modified xsi:type="dcterms:W3CDTF">2020-02-28T09:07:00Z</dcterms:modified>
</cp:coreProperties>
</file>