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876231" w:rsidP="00876231">
      <w:pPr>
        <w:tabs>
          <w:tab w:val="center" w:pos="4536"/>
          <w:tab w:val="left" w:pos="6300"/>
        </w:tabs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74C13" w:rsidRPr="00574C13">
        <w:rPr>
          <w:rFonts w:ascii="Arial" w:hAnsi="Arial" w:cs="Arial"/>
          <w:b/>
          <w:sz w:val="24"/>
          <w:szCs w:val="24"/>
        </w:rPr>
        <w:t>Uzasadnienie</w:t>
      </w:r>
    </w:p>
    <w:p w:rsidR="00574C13" w:rsidRPr="00574C13" w:rsidRDefault="00574C13" w:rsidP="00876231">
      <w:pPr>
        <w:spacing w:before="240" w:after="6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74C13">
        <w:rPr>
          <w:rFonts w:ascii="Arial" w:hAnsi="Arial" w:cs="Arial"/>
          <w:sz w:val="24"/>
          <w:szCs w:val="24"/>
        </w:rPr>
        <w:t xml:space="preserve">Zarządzenie stanowi wykonanie upoważnienia ustawowego </w:t>
      </w:r>
      <w:r>
        <w:rPr>
          <w:rFonts w:ascii="Arial" w:hAnsi="Arial" w:cs="Arial"/>
          <w:sz w:val="24"/>
          <w:szCs w:val="24"/>
        </w:rPr>
        <w:t>zawartego</w:t>
      </w:r>
      <w:r>
        <w:rPr>
          <w:rFonts w:ascii="Arial" w:hAnsi="Arial" w:cs="Arial"/>
          <w:sz w:val="24"/>
          <w:szCs w:val="24"/>
        </w:rPr>
        <w:br/>
      </w:r>
      <w:r w:rsidRPr="00574C13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</w:t>
      </w:r>
      <w:r>
        <w:rPr>
          <w:rFonts w:ascii="Arial" w:hAnsi="Arial" w:cs="Arial"/>
          <w:sz w:val="24"/>
          <w:szCs w:val="24"/>
        </w:rPr>
        <w:t xml:space="preserve"> (</w:t>
      </w:r>
      <w:r w:rsidR="00054E99">
        <w:rPr>
          <w:rFonts w:ascii="Arial" w:hAnsi="Arial" w:cs="Arial"/>
          <w:sz w:val="24"/>
          <w:szCs w:val="24"/>
        </w:rPr>
        <w:t>Dz. U. z 2018</w:t>
      </w:r>
      <w:r w:rsidR="003C44B3" w:rsidRPr="003C44B3">
        <w:rPr>
          <w:rFonts w:ascii="Arial" w:hAnsi="Arial" w:cs="Arial"/>
          <w:sz w:val="24"/>
          <w:szCs w:val="24"/>
        </w:rPr>
        <w:t xml:space="preserve"> r. poz. 1</w:t>
      </w:r>
      <w:r w:rsidR="00054E99">
        <w:rPr>
          <w:rFonts w:ascii="Arial" w:hAnsi="Arial" w:cs="Arial"/>
          <w:sz w:val="24"/>
          <w:szCs w:val="24"/>
        </w:rPr>
        <w:t>510</w:t>
      </w:r>
      <w:r w:rsidR="003C44B3" w:rsidRPr="003C44B3">
        <w:rPr>
          <w:rFonts w:ascii="Arial" w:hAnsi="Arial" w:cs="Arial"/>
          <w:sz w:val="24"/>
          <w:szCs w:val="24"/>
        </w:rPr>
        <w:t>, z późn.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3C44B3" w:rsidRPr="003C44B3">
        <w:rPr>
          <w:rFonts w:ascii="Arial" w:hAnsi="Arial" w:cs="Arial"/>
          <w:sz w:val="24"/>
          <w:szCs w:val="24"/>
        </w:rPr>
        <w:t>zm.</w:t>
      </w:r>
      <w:r>
        <w:rPr>
          <w:rFonts w:ascii="Arial" w:hAnsi="Arial" w:cs="Arial"/>
          <w:sz w:val="24"/>
          <w:szCs w:val="24"/>
        </w:rPr>
        <w:t>)</w:t>
      </w:r>
      <w:r w:rsidRPr="00574C13">
        <w:rPr>
          <w:rFonts w:ascii="Arial" w:hAnsi="Arial" w:cs="Arial"/>
          <w:sz w:val="24"/>
          <w:szCs w:val="24"/>
        </w:rPr>
        <w:t>.</w:t>
      </w:r>
    </w:p>
    <w:p w:rsidR="00613F0A" w:rsidRDefault="00F130B6" w:rsidP="001A3083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W </w:t>
      </w:r>
      <w:r w:rsidR="00C548C1">
        <w:rPr>
          <w:rFonts w:ascii="Arial" w:hAnsi="Arial" w:cs="Arial"/>
          <w:sz w:val="24"/>
          <w:szCs w:val="24"/>
        </w:rPr>
        <w:t xml:space="preserve">niniejszym </w:t>
      </w:r>
      <w:r w:rsidRPr="00F130B6">
        <w:rPr>
          <w:rFonts w:ascii="Arial" w:hAnsi="Arial" w:cs="Arial"/>
          <w:sz w:val="24"/>
          <w:szCs w:val="24"/>
        </w:rPr>
        <w:t>zarządzeniu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>zmieniając</w:t>
      </w:r>
      <w:r w:rsidR="00C548C1">
        <w:rPr>
          <w:rFonts w:ascii="Arial" w:hAnsi="Arial" w:cs="Arial"/>
          <w:sz w:val="24"/>
          <w:szCs w:val="24"/>
        </w:rPr>
        <w:t>ym</w:t>
      </w:r>
      <w:r w:rsidR="00C548C1" w:rsidRPr="00C548C1">
        <w:rPr>
          <w:rFonts w:ascii="Arial" w:hAnsi="Arial" w:cs="Arial"/>
          <w:sz w:val="24"/>
          <w:szCs w:val="24"/>
        </w:rPr>
        <w:t xml:space="preserve"> zarządzenie Nr </w:t>
      </w:r>
      <w:r w:rsidR="00F80B65">
        <w:rPr>
          <w:rFonts w:ascii="Arial" w:hAnsi="Arial" w:cs="Arial"/>
          <w:sz w:val="24"/>
          <w:szCs w:val="24"/>
        </w:rPr>
        <w:t>45</w:t>
      </w:r>
      <w:r w:rsidR="00C548C1" w:rsidRPr="00C548C1">
        <w:rPr>
          <w:rFonts w:ascii="Arial" w:hAnsi="Arial" w:cs="Arial"/>
          <w:sz w:val="24"/>
          <w:szCs w:val="24"/>
        </w:rPr>
        <w:t>/201</w:t>
      </w:r>
      <w:r w:rsidR="00F80B65">
        <w:rPr>
          <w:rFonts w:ascii="Arial" w:hAnsi="Arial" w:cs="Arial"/>
          <w:sz w:val="24"/>
          <w:szCs w:val="24"/>
        </w:rPr>
        <w:t>9</w:t>
      </w:r>
      <w:r w:rsidR="00C548C1" w:rsidRPr="00C548C1">
        <w:rPr>
          <w:rFonts w:ascii="Arial" w:hAnsi="Arial" w:cs="Arial"/>
          <w:sz w:val="24"/>
          <w:szCs w:val="24"/>
        </w:rPr>
        <w:t xml:space="preserve">/DSOZ Prezesa Narodowego Funduszu Zdrowia z dnia </w:t>
      </w:r>
      <w:r w:rsidR="008D5FA0">
        <w:rPr>
          <w:rFonts w:ascii="Arial" w:hAnsi="Arial" w:cs="Arial"/>
          <w:sz w:val="24"/>
          <w:szCs w:val="24"/>
        </w:rPr>
        <w:t>1</w:t>
      </w:r>
      <w:r w:rsidR="00613F0A">
        <w:rPr>
          <w:rFonts w:ascii="Arial" w:hAnsi="Arial" w:cs="Arial"/>
          <w:sz w:val="24"/>
          <w:szCs w:val="24"/>
        </w:rPr>
        <w:t>1</w:t>
      </w:r>
      <w:r w:rsidR="00C548C1" w:rsidRPr="00C548C1">
        <w:rPr>
          <w:rFonts w:ascii="Arial" w:hAnsi="Arial" w:cs="Arial"/>
          <w:sz w:val="24"/>
          <w:szCs w:val="24"/>
        </w:rPr>
        <w:t xml:space="preserve"> </w:t>
      </w:r>
      <w:r w:rsidR="00613F0A">
        <w:rPr>
          <w:rFonts w:ascii="Arial" w:hAnsi="Arial" w:cs="Arial"/>
          <w:sz w:val="24"/>
          <w:szCs w:val="24"/>
        </w:rPr>
        <w:t>kwiet</w:t>
      </w:r>
      <w:r w:rsidR="008D5FA0">
        <w:rPr>
          <w:rFonts w:ascii="Arial" w:hAnsi="Arial" w:cs="Arial"/>
          <w:sz w:val="24"/>
          <w:szCs w:val="24"/>
        </w:rPr>
        <w:t>nia</w:t>
      </w:r>
      <w:r w:rsidR="00C548C1" w:rsidRPr="00C548C1">
        <w:rPr>
          <w:rFonts w:ascii="Arial" w:hAnsi="Arial" w:cs="Arial"/>
          <w:sz w:val="24"/>
          <w:szCs w:val="24"/>
        </w:rPr>
        <w:t xml:space="preserve"> 201</w:t>
      </w:r>
      <w:r w:rsidR="00613F0A">
        <w:rPr>
          <w:rFonts w:ascii="Arial" w:hAnsi="Arial" w:cs="Arial"/>
          <w:sz w:val="24"/>
          <w:szCs w:val="24"/>
        </w:rPr>
        <w:t>9</w:t>
      </w:r>
      <w:r w:rsidR="00C548C1" w:rsidRPr="00C548C1">
        <w:rPr>
          <w:rFonts w:ascii="Arial" w:hAnsi="Arial" w:cs="Arial"/>
          <w:sz w:val="24"/>
          <w:szCs w:val="24"/>
        </w:rPr>
        <w:t xml:space="preserve"> r. w sprawie określenia warunków zawierania i realizacji umów w rodzaju </w:t>
      </w:r>
      <w:r w:rsidR="008D5FA0" w:rsidRPr="008D5FA0">
        <w:rPr>
          <w:rFonts w:ascii="Arial" w:hAnsi="Arial" w:cs="Arial"/>
          <w:sz w:val="24"/>
          <w:szCs w:val="24"/>
        </w:rPr>
        <w:t>świadczenia zdrowotne kontraktowane odrębnie</w:t>
      </w:r>
      <w:r w:rsidR="00C548C1">
        <w:rPr>
          <w:rFonts w:ascii="Arial" w:hAnsi="Arial" w:cs="Arial"/>
          <w:sz w:val="24"/>
          <w:szCs w:val="24"/>
        </w:rPr>
        <w:t>,</w:t>
      </w:r>
      <w:r w:rsidRPr="00F130B6">
        <w:rPr>
          <w:rFonts w:ascii="Arial" w:hAnsi="Arial" w:cs="Arial"/>
          <w:sz w:val="24"/>
          <w:szCs w:val="24"/>
        </w:rPr>
        <w:t xml:space="preserve"> dokonano zmian w zakresie </w:t>
      </w:r>
      <w:r w:rsidR="008D5FA0" w:rsidRPr="00F130B6">
        <w:rPr>
          <w:rFonts w:ascii="Arial" w:hAnsi="Arial" w:cs="Arial"/>
          <w:sz w:val="24"/>
          <w:szCs w:val="24"/>
        </w:rPr>
        <w:t xml:space="preserve">katalogu </w:t>
      </w:r>
      <w:r w:rsidR="00613F0A" w:rsidRPr="00613F0A">
        <w:rPr>
          <w:rFonts w:ascii="Arial" w:hAnsi="Arial" w:cs="Arial"/>
          <w:sz w:val="24"/>
          <w:szCs w:val="24"/>
        </w:rPr>
        <w:t>zakresów w rodzaju świadczenia zdrowotne kontraktowane odrębnie</w:t>
      </w:r>
      <w:r w:rsidR="00613F0A">
        <w:rPr>
          <w:rFonts w:ascii="Arial" w:hAnsi="Arial" w:cs="Arial"/>
          <w:sz w:val="24"/>
          <w:szCs w:val="24"/>
        </w:rPr>
        <w:t xml:space="preserve"> </w:t>
      </w:r>
      <w:r w:rsidR="008D5FA0">
        <w:rPr>
          <w:rFonts w:ascii="Arial" w:hAnsi="Arial" w:cs="Arial"/>
          <w:sz w:val="24"/>
          <w:szCs w:val="24"/>
        </w:rPr>
        <w:t xml:space="preserve">(załącznik </w:t>
      </w:r>
      <w:r w:rsidR="00E2554C">
        <w:rPr>
          <w:rFonts w:ascii="Arial" w:hAnsi="Arial" w:cs="Arial"/>
          <w:sz w:val="24"/>
          <w:szCs w:val="24"/>
        </w:rPr>
        <w:t xml:space="preserve">nr </w:t>
      </w:r>
      <w:r w:rsidRPr="00F130B6">
        <w:rPr>
          <w:rFonts w:ascii="Arial" w:hAnsi="Arial" w:cs="Arial"/>
          <w:sz w:val="24"/>
          <w:szCs w:val="24"/>
        </w:rPr>
        <w:t>1</w:t>
      </w:r>
      <w:r w:rsidR="00E2554C">
        <w:rPr>
          <w:rFonts w:ascii="Arial" w:hAnsi="Arial" w:cs="Arial"/>
          <w:sz w:val="24"/>
          <w:szCs w:val="24"/>
        </w:rPr>
        <w:t xml:space="preserve"> do zarządzenia</w:t>
      </w:r>
      <w:r w:rsidRPr="00F130B6">
        <w:rPr>
          <w:rFonts w:ascii="Arial" w:hAnsi="Arial" w:cs="Arial"/>
          <w:sz w:val="24"/>
          <w:szCs w:val="24"/>
        </w:rPr>
        <w:t>)</w:t>
      </w:r>
      <w:r w:rsidR="00350FD0">
        <w:rPr>
          <w:rFonts w:ascii="Arial" w:hAnsi="Arial" w:cs="Arial"/>
          <w:sz w:val="24"/>
          <w:szCs w:val="24"/>
        </w:rPr>
        <w:t>,</w:t>
      </w:r>
      <w:r w:rsidR="00350FD0">
        <w:rPr>
          <w:rFonts w:ascii="Arial" w:hAnsi="Arial" w:cs="Arial"/>
          <w:sz w:val="24"/>
          <w:szCs w:val="24"/>
        </w:rPr>
        <w:br/>
      </w:r>
      <w:r w:rsidR="00F7791E">
        <w:rPr>
          <w:rFonts w:ascii="Arial" w:hAnsi="Arial" w:cs="Arial"/>
          <w:sz w:val="24"/>
          <w:szCs w:val="24"/>
        </w:rPr>
        <w:t>w w</w:t>
      </w:r>
      <w:r w:rsidR="00F7791E" w:rsidRPr="004213D4">
        <w:rPr>
          <w:rFonts w:ascii="Arial" w:hAnsi="Arial" w:cs="Arial"/>
          <w:sz w:val="24"/>
          <w:szCs w:val="24"/>
        </w:rPr>
        <w:t>arunk</w:t>
      </w:r>
      <w:r w:rsidR="00F7791E">
        <w:rPr>
          <w:rFonts w:ascii="Arial" w:hAnsi="Arial" w:cs="Arial"/>
          <w:sz w:val="24"/>
          <w:szCs w:val="24"/>
        </w:rPr>
        <w:t>ach</w:t>
      </w:r>
      <w:r w:rsidR="00F7791E" w:rsidRPr="004213D4">
        <w:rPr>
          <w:rFonts w:ascii="Arial" w:hAnsi="Arial" w:cs="Arial"/>
          <w:sz w:val="24"/>
          <w:szCs w:val="24"/>
        </w:rPr>
        <w:t xml:space="preserve"> realizacji umów</w:t>
      </w:r>
      <w:r w:rsidR="00F7791E">
        <w:rPr>
          <w:rFonts w:ascii="Arial" w:hAnsi="Arial" w:cs="Arial"/>
          <w:sz w:val="24"/>
          <w:szCs w:val="24"/>
        </w:rPr>
        <w:t xml:space="preserve"> w zakresie </w:t>
      </w:r>
      <w:r w:rsidR="00F7791E" w:rsidRPr="00F7791E">
        <w:rPr>
          <w:rFonts w:ascii="Arial" w:hAnsi="Arial" w:cs="Arial"/>
          <w:sz w:val="24"/>
          <w:szCs w:val="24"/>
        </w:rPr>
        <w:t xml:space="preserve">terapia hiperbaryczna </w:t>
      </w:r>
      <w:r w:rsidR="00F7791E">
        <w:rPr>
          <w:rFonts w:ascii="Arial" w:hAnsi="Arial" w:cs="Arial"/>
          <w:sz w:val="24"/>
          <w:szCs w:val="24"/>
        </w:rPr>
        <w:t>(załącznik nr 3 do zarządzenia</w:t>
      </w:r>
      <w:r w:rsidR="00F7791E" w:rsidRPr="00F130B6">
        <w:rPr>
          <w:rFonts w:ascii="Arial" w:hAnsi="Arial" w:cs="Arial"/>
          <w:sz w:val="24"/>
          <w:szCs w:val="24"/>
        </w:rPr>
        <w:t>)</w:t>
      </w:r>
      <w:r w:rsidR="00350FD0" w:rsidRPr="00350FD0">
        <w:rPr>
          <w:rFonts w:ascii="Arial" w:hAnsi="Arial" w:cs="Arial"/>
          <w:sz w:val="24"/>
          <w:szCs w:val="24"/>
        </w:rPr>
        <w:t xml:space="preserve"> </w:t>
      </w:r>
      <w:r w:rsidR="00350FD0">
        <w:rPr>
          <w:rFonts w:ascii="Arial" w:hAnsi="Arial" w:cs="Arial"/>
          <w:sz w:val="24"/>
          <w:szCs w:val="24"/>
        </w:rPr>
        <w:t xml:space="preserve">oraz dodano </w:t>
      </w:r>
      <w:r w:rsidR="00350FD0" w:rsidRPr="00A03B6A">
        <w:rPr>
          <w:rFonts w:ascii="Arial" w:hAnsi="Arial" w:cs="Arial"/>
          <w:sz w:val="24"/>
          <w:szCs w:val="24"/>
        </w:rPr>
        <w:t xml:space="preserve">załącznik </w:t>
      </w:r>
      <w:r w:rsidR="009E054F">
        <w:rPr>
          <w:rFonts w:ascii="Arial" w:hAnsi="Arial" w:cs="Arial"/>
          <w:sz w:val="24"/>
          <w:szCs w:val="24"/>
        </w:rPr>
        <w:t>(załącznik nr 15 do zarządzenia</w:t>
      </w:r>
      <w:r w:rsidR="009E054F" w:rsidRPr="00F130B6">
        <w:rPr>
          <w:rFonts w:ascii="Arial" w:hAnsi="Arial" w:cs="Arial"/>
          <w:sz w:val="24"/>
          <w:szCs w:val="24"/>
        </w:rPr>
        <w:t>)</w:t>
      </w:r>
      <w:r w:rsidR="009E054F">
        <w:rPr>
          <w:rFonts w:ascii="Arial" w:hAnsi="Arial" w:cs="Arial"/>
          <w:sz w:val="24"/>
          <w:szCs w:val="24"/>
        </w:rPr>
        <w:t xml:space="preserve"> </w:t>
      </w:r>
      <w:r w:rsidR="00350FD0">
        <w:rPr>
          <w:rFonts w:ascii="Arial" w:hAnsi="Arial" w:cs="Arial"/>
          <w:sz w:val="24"/>
          <w:szCs w:val="24"/>
        </w:rPr>
        <w:t xml:space="preserve">określający wzór </w:t>
      </w:r>
      <w:r w:rsidR="00350FD0" w:rsidRPr="00350FD0">
        <w:rPr>
          <w:rFonts w:ascii="Arial" w:hAnsi="Arial" w:cs="Arial"/>
          <w:sz w:val="24"/>
          <w:szCs w:val="24"/>
        </w:rPr>
        <w:t>oświadczeni</w:t>
      </w:r>
      <w:r w:rsidR="00350FD0">
        <w:rPr>
          <w:rFonts w:ascii="Arial" w:hAnsi="Arial" w:cs="Arial"/>
          <w:sz w:val="24"/>
          <w:szCs w:val="24"/>
        </w:rPr>
        <w:t>a przedstawiciela ustawowego/</w:t>
      </w:r>
      <w:r w:rsidR="00350FD0" w:rsidRPr="00350FD0">
        <w:rPr>
          <w:rFonts w:ascii="Arial" w:hAnsi="Arial" w:cs="Arial"/>
          <w:sz w:val="24"/>
          <w:szCs w:val="24"/>
        </w:rPr>
        <w:t>opiekuna faktycznego pacjen</w:t>
      </w:r>
      <w:r w:rsidR="00350FD0">
        <w:rPr>
          <w:rFonts w:ascii="Arial" w:hAnsi="Arial" w:cs="Arial"/>
          <w:sz w:val="24"/>
          <w:szCs w:val="24"/>
        </w:rPr>
        <w:t>ta</w:t>
      </w:r>
      <w:r w:rsidR="00350FD0" w:rsidRPr="00350FD0">
        <w:rPr>
          <w:rFonts w:ascii="Arial" w:hAnsi="Arial" w:cs="Arial"/>
          <w:sz w:val="24"/>
          <w:szCs w:val="24"/>
        </w:rPr>
        <w:t xml:space="preserve"> małoletni</w:t>
      </w:r>
      <w:r w:rsidR="00350FD0">
        <w:rPr>
          <w:rFonts w:ascii="Arial" w:hAnsi="Arial" w:cs="Arial"/>
          <w:sz w:val="24"/>
          <w:szCs w:val="24"/>
        </w:rPr>
        <w:t>ego</w:t>
      </w:r>
      <w:r w:rsidR="00350FD0" w:rsidRPr="00350FD0">
        <w:rPr>
          <w:rFonts w:ascii="Arial" w:hAnsi="Arial" w:cs="Arial"/>
          <w:sz w:val="24"/>
          <w:szCs w:val="24"/>
        </w:rPr>
        <w:t xml:space="preserve"> lub posiadając</w:t>
      </w:r>
      <w:r w:rsidR="00350FD0">
        <w:rPr>
          <w:rFonts w:ascii="Arial" w:hAnsi="Arial" w:cs="Arial"/>
          <w:sz w:val="24"/>
          <w:szCs w:val="24"/>
        </w:rPr>
        <w:t>ego</w:t>
      </w:r>
      <w:r w:rsidR="00350FD0" w:rsidRPr="00350FD0">
        <w:rPr>
          <w:rFonts w:ascii="Arial" w:hAnsi="Arial" w:cs="Arial"/>
          <w:sz w:val="24"/>
          <w:szCs w:val="24"/>
        </w:rPr>
        <w:t xml:space="preserve"> orzeczenie o znacznym stopniu niepełnosprawności.</w:t>
      </w:r>
    </w:p>
    <w:p w:rsidR="00613F0A" w:rsidRPr="00613F0A" w:rsidRDefault="00F130B6" w:rsidP="001A3083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Zmiany </w:t>
      </w:r>
      <w:r w:rsidR="00613F0A">
        <w:rPr>
          <w:rFonts w:ascii="Arial" w:hAnsi="Arial" w:cs="Arial"/>
          <w:sz w:val="24"/>
          <w:szCs w:val="24"/>
        </w:rPr>
        <w:t xml:space="preserve">polegają na </w:t>
      </w:r>
      <w:r w:rsidR="00613F0A" w:rsidRPr="00613F0A">
        <w:rPr>
          <w:rFonts w:ascii="Arial" w:hAnsi="Arial" w:cs="Arial"/>
          <w:sz w:val="24"/>
          <w:szCs w:val="24"/>
        </w:rPr>
        <w:t>skorygowan</w:t>
      </w:r>
      <w:r w:rsidR="00613F0A">
        <w:rPr>
          <w:rFonts w:ascii="Arial" w:hAnsi="Arial" w:cs="Arial"/>
          <w:sz w:val="24"/>
          <w:szCs w:val="24"/>
        </w:rPr>
        <w:t>iu</w:t>
      </w:r>
      <w:r w:rsidR="00613F0A" w:rsidRPr="00613F0A">
        <w:rPr>
          <w:rFonts w:ascii="Arial" w:hAnsi="Arial" w:cs="Arial"/>
          <w:sz w:val="24"/>
          <w:szCs w:val="24"/>
        </w:rPr>
        <w:t xml:space="preserve"> wycen</w:t>
      </w:r>
      <w:r w:rsidR="00613F0A">
        <w:rPr>
          <w:rFonts w:ascii="Arial" w:hAnsi="Arial" w:cs="Arial"/>
          <w:sz w:val="24"/>
          <w:szCs w:val="24"/>
        </w:rPr>
        <w:t xml:space="preserve"> punktowych</w:t>
      </w:r>
      <w:r w:rsidR="00613F0A" w:rsidRPr="00613F0A">
        <w:rPr>
          <w:rFonts w:ascii="Arial" w:hAnsi="Arial" w:cs="Arial"/>
          <w:sz w:val="24"/>
          <w:szCs w:val="24"/>
        </w:rPr>
        <w:t xml:space="preserve"> świadczeń w związku </w:t>
      </w:r>
      <w:r w:rsidR="00B31753">
        <w:rPr>
          <w:rFonts w:ascii="Arial" w:hAnsi="Arial" w:cs="Arial"/>
          <w:sz w:val="24"/>
          <w:szCs w:val="24"/>
        </w:rPr>
        <w:t>ponoszonymi przez świadczeniodawców rosnącymi kosztami, będącymi pochodną wzrostu ogólnych kosztów udzielania świadczeń opieki zdrowotnej</w:t>
      </w:r>
      <w:r w:rsidR="00127113">
        <w:rPr>
          <w:rFonts w:ascii="Arial" w:hAnsi="Arial" w:cs="Arial"/>
          <w:sz w:val="24"/>
          <w:szCs w:val="24"/>
        </w:rPr>
        <w:t xml:space="preserve"> (</w:t>
      </w:r>
      <w:r w:rsidR="00127113" w:rsidRPr="00613F0A">
        <w:rPr>
          <w:rFonts w:ascii="Arial" w:hAnsi="Arial" w:cs="Arial"/>
          <w:sz w:val="24"/>
          <w:szCs w:val="24"/>
        </w:rPr>
        <w:t xml:space="preserve">których wyceny nie były </w:t>
      </w:r>
      <w:r w:rsidR="00127113">
        <w:rPr>
          <w:rFonts w:ascii="Arial" w:hAnsi="Arial" w:cs="Arial"/>
          <w:sz w:val="24"/>
          <w:szCs w:val="24"/>
        </w:rPr>
        <w:t>podnoszone od kilku lat)</w:t>
      </w:r>
      <w:r w:rsidR="00B31753">
        <w:rPr>
          <w:rFonts w:ascii="Arial" w:hAnsi="Arial" w:cs="Arial"/>
          <w:sz w:val="24"/>
          <w:szCs w:val="24"/>
        </w:rPr>
        <w:t>, oraz w szczególności zwiększającymi się kosztami wynagrodzeń personelu</w:t>
      </w:r>
      <w:r w:rsidR="00613F0A">
        <w:rPr>
          <w:rFonts w:ascii="Arial" w:hAnsi="Arial" w:cs="Arial"/>
          <w:sz w:val="24"/>
          <w:szCs w:val="24"/>
        </w:rPr>
        <w:t>.</w:t>
      </w:r>
    </w:p>
    <w:p w:rsidR="003543BA" w:rsidRDefault="00613F0A" w:rsidP="001A3083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są spójne ze zmianami wprowadzonymi w innych rodzajach </w:t>
      </w:r>
      <w:r w:rsidRPr="00613F0A">
        <w:rPr>
          <w:rFonts w:ascii="Arial" w:hAnsi="Arial" w:cs="Arial"/>
          <w:sz w:val="24"/>
          <w:szCs w:val="24"/>
        </w:rPr>
        <w:t>świadczeń</w:t>
      </w:r>
      <w:r>
        <w:rPr>
          <w:rFonts w:ascii="Arial" w:hAnsi="Arial" w:cs="Arial"/>
          <w:sz w:val="24"/>
          <w:szCs w:val="24"/>
        </w:rPr>
        <w:t xml:space="preserve">, wobec czego </w:t>
      </w:r>
      <w:r w:rsidRPr="00613F0A">
        <w:rPr>
          <w:rFonts w:ascii="Arial" w:hAnsi="Arial" w:cs="Arial"/>
          <w:sz w:val="24"/>
          <w:szCs w:val="24"/>
        </w:rPr>
        <w:t>wyce</w:t>
      </w:r>
      <w:r>
        <w:rPr>
          <w:rFonts w:ascii="Arial" w:hAnsi="Arial" w:cs="Arial"/>
          <w:sz w:val="24"/>
          <w:szCs w:val="24"/>
        </w:rPr>
        <w:t xml:space="preserve">ny </w:t>
      </w:r>
      <w:r w:rsidRPr="00613F0A">
        <w:rPr>
          <w:rFonts w:ascii="Arial" w:hAnsi="Arial" w:cs="Arial"/>
          <w:sz w:val="24"/>
          <w:szCs w:val="24"/>
        </w:rPr>
        <w:t xml:space="preserve">świadczeń </w:t>
      </w:r>
      <w:r>
        <w:rPr>
          <w:rFonts w:ascii="Arial" w:hAnsi="Arial" w:cs="Arial"/>
          <w:sz w:val="24"/>
          <w:szCs w:val="24"/>
        </w:rPr>
        <w:t xml:space="preserve">wzrosły o 3 %, </w:t>
      </w:r>
      <w:r w:rsidR="00D90A22">
        <w:rPr>
          <w:rFonts w:ascii="Arial" w:hAnsi="Arial" w:cs="Arial"/>
          <w:sz w:val="24"/>
          <w:szCs w:val="24"/>
        </w:rPr>
        <w:t xml:space="preserve">z wyjątkiem </w:t>
      </w:r>
      <w:r w:rsidRPr="00613F0A">
        <w:rPr>
          <w:rFonts w:ascii="Arial" w:hAnsi="Arial" w:cs="Arial"/>
          <w:sz w:val="24"/>
          <w:szCs w:val="24"/>
        </w:rPr>
        <w:t>wyce</w:t>
      </w:r>
      <w:r>
        <w:rPr>
          <w:rFonts w:ascii="Arial" w:hAnsi="Arial" w:cs="Arial"/>
          <w:sz w:val="24"/>
          <w:szCs w:val="24"/>
        </w:rPr>
        <w:t xml:space="preserve">n </w:t>
      </w:r>
      <w:r w:rsidRPr="00613F0A">
        <w:rPr>
          <w:rFonts w:ascii="Arial" w:hAnsi="Arial" w:cs="Arial"/>
          <w:sz w:val="24"/>
          <w:szCs w:val="24"/>
        </w:rPr>
        <w:t>świadczeń</w:t>
      </w:r>
      <w:r>
        <w:rPr>
          <w:rFonts w:ascii="Arial" w:hAnsi="Arial" w:cs="Arial"/>
          <w:sz w:val="24"/>
          <w:szCs w:val="24"/>
        </w:rPr>
        <w:t xml:space="preserve"> rehabilitacyjnych</w:t>
      </w:r>
      <w:r w:rsidR="00D90A22">
        <w:rPr>
          <w:rFonts w:ascii="Arial" w:hAnsi="Arial" w:cs="Arial"/>
          <w:sz w:val="24"/>
          <w:szCs w:val="24"/>
        </w:rPr>
        <w:t xml:space="preserve">, które </w:t>
      </w:r>
      <w:r>
        <w:rPr>
          <w:rFonts w:ascii="Arial" w:hAnsi="Arial" w:cs="Arial"/>
          <w:sz w:val="24"/>
          <w:szCs w:val="24"/>
        </w:rPr>
        <w:t xml:space="preserve">wzrosły o </w:t>
      </w:r>
      <w:r w:rsidR="00D90A2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%.</w:t>
      </w:r>
    </w:p>
    <w:p w:rsidR="001A3083" w:rsidRDefault="003543BA" w:rsidP="003543B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4F5226">
        <w:rPr>
          <w:rFonts w:ascii="Arial" w:hAnsi="Arial" w:cs="Arial"/>
          <w:sz w:val="24"/>
          <w:szCs w:val="24"/>
        </w:rPr>
        <w:t xml:space="preserve">odano </w:t>
      </w:r>
      <w:r>
        <w:rPr>
          <w:rFonts w:ascii="Arial" w:hAnsi="Arial" w:cs="Arial"/>
          <w:sz w:val="24"/>
          <w:szCs w:val="24"/>
        </w:rPr>
        <w:t xml:space="preserve">też </w:t>
      </w:r>
      <w:r w:rsidRPr="004F5226">
        <w:rPr>
          <w:rFonts w:ascii="Arial" w:hAnsi="Arial" w:cs="Arial"/>
          <w:sz w:val="24"/>
          <w:szCs w:val="24"/>
        </w:rPr>
        <w:t>nowy produkt rozliczeniowy 5.</w:t>
      </w:r>
      <w:r>
        <w:rPr>
          <w:rFonts w:ascii="Arial" w:hAnsi="Arial" w:cs="Arial"/>
          <w:sz w:val="24"/>
          <w:szCs w:val="24"/>
        </w:rPr>
        <w:t>10</w:t>
      </w:r>
      <w:r w:rsidRPr="004F5226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0</w:t>
      </w:r>
      <w:r w:rsidRPr="004F5226">
        <w:rPr>
          <w:rFonts w:ascii="Arial" w:hAnsi="Arial" w:cs="Arial"/>
          <w:sz w:val="24"/>
          <w:szCs w:val="24"/>
        </w:rPr>
        <w:t>.000</w:t>
      </w:r>
      <w:r>
        <w:rPr>
          <w:rFonts w:ascii="Arial" w:hAnsi="Arial" w:cs="Arial"/>
          <w:sz w:val="24"/>
          <w:szCs w:val="24"/>
        </w:rPr>
        <w:t>0157</w:t>
      </w:r>
      <w:r w:rsidRPr="004F5226">
        <w:rPr>
          <w:rFonts w:ascii="Arial" w:hAnsi="Arial" w:cs="Arial"/>
          <w:sz w:val="24"/>
          <w:szCs w:val="24"/>
        </w:rPr>
        <w:t xml:space="preserve"> Koszt pobytu przedstawiciela ustawowego albo opiekuna faktycznego przy pacjencie małoletnim lub posiadającym orzeczenie o znacznym stopniu niepełnosprawności</w:t>
      </w:r>
      <w:r w:rsidR="009E054F">
        <w:rPr>
          <w:rFonts w:ascii="Arial" w:hAnsi="Arial" w:cs="Arial"/>
          <w:sz w:val="24"/>
          <w:szCs w:val="24"/>
        </w:rPr>
        <w:t xml:space="preserve">, </w:t>
      </w:r>
      <w:r w:rsidR="001A3083" w:rsidRPr="001A3083">
        <w:rPr>
          <w:rFonts w:ascii="Arial" w:hAnsi="Arial" w:cs="Arial"/>
          <w:sz w:val="24"/>
          <w:szCs w:val="24"/>
        </w:rPr>
        <w:t>w celu częściowej refundacji kosztów pobytu opiekuna w szpitalu</w:t>
      </w:r>
      <w:r w:rsidR="001A3083">
        <w:rPr>
          <w:rFonts w:ascii="Arial" w:hAnsi="Arial" w:cs="Arial"/>
          <w:sz w:val="24"/>
          <w:szCs w:val="24"/>
        </w:rPr>
        <w:t xml:space="preserve">, </w:t>
      </w:r>
      <w:r w:rsidR="009E054F">
        <w:rPr>
          <w:rFonts w:ascii="Arial" w:hAnsi="Arial" w:cs="Arial"/>
          <w:sz w:val="24"/>
          <w:szCs w:val="24"/>
        </w:rPr>
        <w:t xml:space="preserve">określając jednocześnie </w:t>
      </w:r>
      <w:r w:rsidR="001A3083">
        <w:rPr>
          <w:rFonts w:ascii="Arial" w:hAnsi="Arial" w:cs="Arial"/>
          <w:sz w:val="24"/>
          <w:szCs w:val="24"/>
        </w:rPr>
        <w:br/>
      </w:r>
      <w:r w:rsidR="009E054F">
        <w:rPr>
          <w:rFonts w:ascii="Arial" w:hAnsi="Arial" w:cs="Arial"/>
          <w:sz w:val="24"/>
          <w:szCs w:val="24"/>
        </w:rPr>
        <w:t xml:space="preserve">w załączniku nr 2 </w:t>
      </w:r>
      <w:r w:rsidR="00517337">
        <w:rPr>
          <w:rFonts w:ascii="Arial" w:hAnsi="Arial" w:cs="Arial"/>
          <w:sz w:val="24"/>
          <w:szCs w:val="24"/>
        </w:rPr>
        <w:t>do niniejszego</w:t>
      </w:r>
      <w:r w:rsidR="00517337" w:rsidRPr="00517337">
        <w:rPr>
          <w:rFonts w:ascii="Arial" w:hAnsi="Arial" w:cs="Arial"/>
          <w:sz w:val="24"/>
          <w:szCs w:val="24"/>
        </w:rPr>
        <w:t xml:space="preserve"> </w:t>
      </w:r>
      <w:r w:rsidR="00517337">
        <w:rPr>
          <w:rFonts w:ascii="Arial" w:hAnsi="Arial" w:cs="Arial"/>
          <w:sz w:val="24"/>
          <w:szCs w:val="24"/>
        </w:rPr>
        <w:t xml:space="preserve">zarządzenia </w:t>
      </w:r>
      <w:r w:rsidR="009E054F">
        <w:rPr>
          <w:rFonts w:ascii="Arial" w:hAnsi="Arial" w:cs="Arial"/>
          <w:sz w:val="24"/>
          <w:szCs w:val="24"/>
        </w:rPr>
        <w:t xml:space="preserve">wzór </w:t>
      </w:r>
      <w:r w:rsidR="009E054F" w:rsidRPr="00350FD0">
        <w:rPr>
          <w:rFonts w:ascii="Arial" w:hAnsi="Arial" w:cs="Arial"/>
          <w:sz w:val="24"/>
          <w:szCs w:val="24"/>
        </w:rPr>
        <w:t>oświadczeni</w:t>
      </w:r>
      <w:r w:rsidR="001A3083">
        <w:rPr>
          <w:rFonts w:ascii="Arial" w:hAnsi="Arial" w:cs="Arial"/>
          <w:sz w:val="24"/>
          <w:szCs w:val="24"/>
        </w:rPr>
        <w:t>a.</w:t>
      </w:r>
    </w:p>
    <w:p w:rsidR="003543BA" w:rsidRDefault="003543BA" w:rsidP="003543BA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F5226">
        <w:rPr>
          <w:rFonts w:ascii="Arial" w:hAnsi="Arial" w:cs="Arial"/>
          <w:sz w:val="24"/>
          <w:szCs w:val="24"/>
        </w:rPr>
        <w:t>Jest to realizacja praw wynikających z art. 34 ust. 4 ustawy z dnia 16 maja 2019</w:t>
      </w:r>
      <w:r>
        <w:rPr>
          <w:rFonts w:ascii="Arial" w:hAnsi="Arial" w:cs="Arial"/>
          <w:sz w:val="24"/>
          <w:szCs w:val="24"/>
        </w:rPr>
        <w:t> </w:t>
      </w:r>
      <w:r w:rsidRPr="004F5226">
        <w:rPr>
          <w:rFonts w:ascii="Arial" w:hAnsi="Arial" w:cs="Arial"/>
          <w:sz w:val="24"/>
          <w:szCs w:val="24"/>
        </w:rPr>
        <w:t xml:space="preserve">r. o zmianie ustawy o prawach pacjenta i Rzeczniku Praw Pacjenta. Jednocześnie do zarządzenia dodano załącznik nr </w:t>
      </w:r>
      <w:r>
        <w:rPr>
          <w:rFonts w:ascii="Arial" w:hAnsi="Arial" w:cs="Arial"/>
          <w:sz w:val="24"/>
          <w:szCs w:val="24"/>
        </w:rPr>
        <w:t>2</w:t>
      </w:r>
      <w:r w:rsidRPr="004F5226">
        <w:rPr>
          <w:rFonts w:ascii="Arial" w:hAnsi="Arial" w:cs="Arial"/>
          <w:sz w:val="24"/>
          <w:szCs w:val="24"/>
        </w:rPr>
        <w:t xml:space="preserve"> (załącznik nr 1</w:t>
      </w:r>
      <w:r>
        <w:rPr>
          <w:rFonts w:ascii="Arial" w:hAnsi="Arial" w:cs="Arial"/>
          <w:sz w:val="24"/>
          <w:szCs w:val="24"/>
        </w:rPr>
        <w:t>5</w:t>
      </w:r>
      <w:r w:rsidRPr="004F5226">
        <w:rPr>
          <w:rFonts w:ascii="Arial" w:hAnsi="Arial" w:cs="Arial"/>
          <w:sz w:val="24"/>
          <w:szCs w:val="24"/>
        </w:rPr>
        <w:t xml:space="preserve"> do zarządzenia) będący oświadczeniem, które jest niezbędne do rozliczenia </w:t>
      </w:r>
      <w:r w:rsidR="00A033A7">
        <w:rPr>
          <w:rFonts w:ascii="Arial" w:hAnsi="Arial" w:cs="Arial"/>
          <w:sz w:val="24"/>
          <w:szCs w:val="24"/>
        </w:rPr>
        <w:br/>
      </w:r>
      <w:r w:rsidRPr="004F5226">
        <w:rPr>
          <w:rFonts w:ascii="Arial" w:hAnsi="Arial" w:cs="Arial"/>
          <w:sz w:val="24"/>
          <w:szCs w:val="24"/>
        </w:rPr>
        <w:t>ww. produktu.</w:t>
      </w:r>
    </w:p>
    <w:p w:rsidR="004C76CC" w:rsidRDefault="004C76CC" w:rsidP="004C76C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Ponadto uwzględniono w zarządzeniu nową </w:t>
      </w:r>
      <w:r w:rsidRPr="00C83E11">
        <w:rPr>
          <w:rFonts w:ascii="Arial" w:hAnsi="Arial" w:cs="Arial"/>
          <w:sz w:val="24"/>
          <w:szCs w:val="24"/>
        </w:rPr>
        <w:t>taryf</w:t>
      </w:r>
      <w:r>
        <w:rPr>
          <w:rFonts w:ascii="Arial" w:hAnsi="Arial" w:cs="Arial"/>
          <w:sz w:val="24"/>
          <w:szCs w:val="24"/>
        </w:rPr>
        <w:t>ę</w:t>
      </w:r>
      <w:r w:rsidRPr="00C83E11">
        <w:rPr>
          <w:rFonts w:ascii="Arial" w:hAnsi="Arial" w:cs="Arial"/>
          <w:sz w:val="24"/>
          <w:szCs w:val="24"/>
        </w:rPr>
        <w:t xml:space="preserve"> świadcze</w:t>
      </w:r>
      <w:r>
        <w:rPr>
          <w:rFonts w:ascii="Arial" w:hAnsi="Arial" w:cs="Arial"/>
          <w:sz w:val="24"/>
          <w:szCs w:val="24"/>
        </w:rPr>
        <w:t>nia</w:t>
      </w:r>
      <w:r w:rsidRPr="00C83E11">
        <w:rPr>
          <w:rFonts w:ascii="Arial" w:hAnsi="Arial" w:cs="Arial"/>
          <w:sz w:val="24"/>
          <w:szCs w:val="24"/>
        </w:rPr>
        <w:t xml:space="preserve"> gwarantowan</w:t>
      </w:r>
      <w:r>
        <w:rPr>
          <w:rFonts w:ascii="Arial" w:hAnsi="Arial" w:cs="Arial"/>
          <w:sz w:val="24"/>
          <w:szCs w:val="24"/>
        </w:rPr>
        <w:t>ego</w:t>
      </w:r>
      <w:r w:rsidRPr="00C83E11">
        <w:rPr>
          <w:rFonts w:ascii="Arial" w:hAnsi="Arial" w:cs="Arial"/>
          <w:sz w:val="24"/>
          <w:szCs w:val="24"/>
        </w:rPr>
        <w:t xml:space="preserve"> z zakresu ambulatoryjnej opieki specjalistycznej i leczenia szpitalnego – oksygenacja hiperbaryczna</w:t>
      </w:r>
      <w:r>
        <w:rPr>
          <w:rFonts w:ascii="Arial" w:hAnsi="Arial" w:cs="Arial"/>
          <w:sz w:val="24"/>
          <w:szCs w:val="24"/>
        </w:rPr>
        <w:t>. Zmiana ta p</w:t>
      </w:r>
      <w:r w:rsidRPr="00F130B6">
        <w:rPr>
          <w:rFonts w:ascii="Arial" w:hAnsi="Arial" w:cs="Arial"/>
          <w:sz w:val="24"/>
          <w:szCs w:val="24"/>
        </w:rPr>
        <w:t xml:space="preserve">olega na </w:t>
      </w:r>
      <w:r>
        <w:rPr>
          <w:rFonts w:ascii="Arial" w:hAnsi="Arial" w:cs="Arial"/>
          <w:sz w:val="24"/>
          <w:szCs w:val="24"/>
        </w:rPr>
        <w:t xml:space="preserve">zastąpieniu dotychczasowego produktu </w:t>
      </w:r>
      <w:r w:rsidRPr="00F130B6">
        <w:rPr>
          <w:rFonts w:ascii="Arial" w:hAnsi="Arial" w:cs="Arial"/>
          <w:sz w:val="24"/>
          <w:szCs w:val="24"/>
        </w:rPr>
        <w:t>rozliczeniow</w:t>
      </w:r>
      <w:r>
        <w:rPr>
          <w:rFonts w:ascii="Arial" w:hAnsi="Arial" w:cs="Arial"/>
          <w:sz w:val="24"/>
          <w:szCs w:val="24"/>
        </w:rPr>
        <w:t>ego „</w:t>
      </w:r>
      <w:r w:rsidRPr="00C83E11">
        <w:rPr>
          <w:rFonts w:ascii="Arial" w:hAnsi="Arial" w:cs="Arial"/>
          <w:sz w:val="24"/>
          <w:szCs w:val="24"/>
        </w:rPr>
        <w:t xml:space="preserve">terapia hiperbaryczna (1 sprężenie </w:t>
      </w:r>
      <w:r w:rsidR="00A033A7">
        <w:rPr>
          <w:rFonts w:ascii="Arial" w:hAnsi="Arial" w:cs="Arial"/>
          <w:sz w:val="24"/>
          <w:szCs w:val="24"/>
        </w:rPr>
        <w:br/>
      </w:r>
      <w:r w:rsidRPr="00C83E11">
        <w:rPr>
          <w:rFonts w:ascii="Arial" w:hAnsi="Arial" w:cs="Arial"/>
          <w:sz w:val="24"/>
          <w:szCs w:val="24"/>
        </w:rPr>
        <w:t>u jednego chorego)</w:t>
      </w:r>
      <w:r>
        <w:rPr>
          <w:rFonts w:ascii="Arial" w:hAnsi="Arial" w:cs="Arial"/>
          <w:sz w:val="24"/>
          <w:szCs w:val="24"/>
        </w:rPr>
        <w:t>” w zakresie</w:t>
      </w:r>
      <w:r w:rsidRPr="00F130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świadczeń „</w:t>
      </w:r>
      <w:r w:rsidRPr="00C83E11">
        <w:rPr>
          <w:rFonts w:ascii="Arial" w:hAnsi="Arial" w:cs="Arial"/>
          <w:sz w:val="24"/>
          <w:szCs w:val="24"/>
        </w:rPr>
        <w:t>terapia hiperbaryczna</w:t>
      </w:r>
      <w:r>
        <w:rPr>
          <w:rFonts w:ascii="Arial" w:hAnsi="Arial" w:cs="Arial"/>
          <w:sz w:val="24"/>
          <w:szCs w:val="24"/>
        </w:rPr>
        <w:t xml:space="preserve">” dwoma nowymi produktu </w:t>
      </w:r>
      <w:r w:rsidRPr="00F130B6">
        <w:rPr>
          <w:rFonts w:ascii="Arial" w:hAnsi="Arial" w:cs="Arial"/>
          <w:sz w:val="24"/>
          <w:szCs w:val="24"/>
        </w:rPr>
        <w:t>rozliczeniow</w:t>
      </w:r>
      <w:r>
        <w:rPr>
          <w:rFonts w:ascii="Arial" w:hAnsi="Arial" w:cs="Arial"/>
          <w:sz w:val="24"/>
          <w:szCs w:val="24"/>
        </w:rPr>
        <w:t>ymi:</w:t>
      </w:r>
    </w:p>
    <w:p w:rsidR="00A033A7" w:rsidRPr="00C83E11" w:rsidRDefault="00A033A7" w:rsidP="00A033A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83E11">
        <w:rPr>
          <w:rFonts w:ascii="Arial" w:hAnsi="Arial" w:cs="Arial"/>
          <w:sz w:val="24"/>
          <w:szCs w:val="24"/>
        </w:rPr>
        <w:t>„Terapia hiperbaryczna (1 sprężenie u 1 pacjenta) – z zapewnieniem 24h dostępności”,</w:t>
      </w:r>
    </w:p>
    <w:p w:rsidR="00A033A7" w:rsidRPr="00C83E11" w:rsidRDefault="00A033A7" w:rsidP="00A033A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83E11">
        <w:rPr>
          <w:rFonts w:ascii="Arial" w:hAnsi="Arial" w:cs="Arial"/>
          <w:sz w:val="24"/>
          <w:szCs w:val="24"/>
        </w:rPr>
        <w:t>„Terapia hiperbaryczna (1 sprężenie u 1 pacjenta) – bez zapewnienia 24h dostępności”.</w:t>
      </w:r>
    </w:p>
    <w:p w:rsidR="00796EF7" w:rsidRDefault="004C76CC" w:rsidP="00796EF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Struktura i wyceny nowou</w:t>
      </w:r>
      <w:r w:rsidRPr="00F130B6">
        <w:rPr>
          <w:rFonts w:ascii="Arial" w:hAnsi="Arial" w:cs="Arial"/>
          <w:sz w:val="24"/>
          <w:szCs w:val="24"/>
        </w:rPr>
        <w:t>tworzon</w:t>
      </w:r>
      <w:r>
        <w:rPr>
          <w:rFonts w:ascii="Arial" w:hAnsi="Arial" w:cs="Arial"/>
          <w:sz w:val="24"/>
          <w:szCs w:val="24"/>
        </w:rPr>
        <w:t xml:space="preserve">ych </w:t>
      </w:r>
      <w:r w:rsidRPr="00F130B6">
        <w:rPr>
          <w:rFonts w:ascii="Arial" w:hAnsi="Arial" w:cs="Arial"/>
          <w:sz w:val="24"/>
          <w:szCs w:val="24"/>
        </w:rPr>
        <w:t>produkt</w:t>
      </w:r>
      <w:r>
        <w:rPr>
          <w:rFonts w:ascii="Arial" w:hAnsi="Arial" w:cs="Arial"/>
          <w:sz w:val="24"/>
          <w:szCs w:val="24"/>
        </w:rPr>
        <w:t>ów</w:t>
      </w:r>
      <w:r w:rsidRPr="00F130B6">
        <w:rPr>
          <w:rFonts w:ascii="Arial" w:hAnsi="Arial" w:cs="Arial"/>
          <w:sz w:val="24"/>
          <w:szCs w:val="24"/>
        </w:rPr>
        <w:t xml:space="preserve"> rozliczeniow</w:t>
      </w:r>
      <w:r>
        <w:rPr>
          <w:rFonts w:ascii="Arial" w:hAnsi="Arial" w:cs="Arial"/>
          <w:sz w:val="24"/>
          <w:szCs w:val="24"/>
        </w:rPr>
        <w:t>ych</w:t>
      </w:r>
      <w:r w:rsidRPr="00F130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odpowiadają ww. </w:t>
      </w:r>
      <w:r w:rsidRPr="00F63AEE">
        <w:rPr>
          <w:rFonts w:ascii="Arial" w:hAnsi="Arial" w:cs="Arial"/>
          <w:sz w:val="24"/>
          <w:szCs w:val="24"/>
        </w:rPr>
        <w:t>taryf</w:t>
      </w:r>
      <w:r>
        <w:rPr>
          <w:rFonts w:ascii="Arial" w:hAnsi="Arial" w:cs="Arial"/>
          <w:sz w:val="24"/>
          <w:szCs w:val="24"/>
        </w:rPr>
        <w:t>ie</w:t>
      </w:r>
      <w:r w:rsidRPr="00F63A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świadczeń</w:t>
      </w:r>
      <w:r w:rsidR="00796EF7">
        <w:rPr>
          <w:rFonts w:ascii="Arial" w:hAnsi="Arial" w:cs="Arial"/>
          <w:sz w:val="24"/>
          <w:szCs w:val="24"/>
        </w:rPr>
        <w:t xml:space="preserve">, przy czym </w:t>
      </w:r>
      <w:r w:rsidR="00796EF7" w:rsidRPr="00F130B6">
        <w:rPr>
          <w:rFonts w:ascii="Arial" w:hAnsi="Arial" w:cs="Arial"/>
          <w:sz w:val="24"/>
          <w:szCs w:val="24"/>
        </w:rPr>
        <w:t xml:space="preserve">dokonano zmian </w:t>
      </w:r>
      <w:r w:rsidR="00796EF7">
        <w:rPr>
          <w:rFonts w:ascii="Arial" w:hAnsi="Arial" w:cs="Arial"/>
          <w:sz w:val="24"/>
          <w:szCs w:val="24"/>
        </w:rPr>
        <w:t xml:space="preserve">zarówno </w:t>
      </w:r>
      <w:r w:rsidR="00796EF7" w:rsidRPr="00F130B6">
        <w:rPr>
          <w:rFonts w:ascii="Arial" w:hAnsi="Arial" w:cs="Arial"/>
          <w:sz w:val="24"/>
          <w:szCs w:val="24"/>
        </w:rPr>
        <w:t xml:space="preserve">w zakresie katalogu </w:t>
      </w:r>
      <w:r w:rsidR="00796EF7">
        <w:rPr>
          <w:rFonts w:ascii="Arial" w:hAnsi="Arial" w:cs="Arial"/>
          <w:sz w:val="24"/>
          <w:szCs w:val="24"/>
        </w:rPr>
        <w:t xml:space="preserve">zakresów świadczeń (załącznik nr </w:t>
      </w:r>
      <w:r w:rsidR="00796EF7" w:rsidRPr="00F130B6">
        <w:rPr>
          <w:rFonts w:ascii="Arial" w:hAnsi="Arial" w:cs="Arial"/>
          <w:sz w:val="24"/>
          <w:szCs w:val="24"/>
        </w:rPr>
        <w:t>1</w:t>
      </w:r>
      <w:r w:rsidR="00796EF7">
        <w:rPr>
          <w:rFonts w:ascii="Arial" w:hAnsi="Arial" w:cs="Arial"/>
          <w:sz w:val="24"/>
          <w:szCs w:val="24"/>
        </w:rPr>
        <w:t xml:space="preserve"> do zarządzenia) jak też w w</w:t>
      </w:r>
      <w:r w:rsidR="00796EF7" w:rsidRPr="004213D4">
        <w:rPr>
          <w:rFonts w:ascii="Arial" w:hAnsi="Arial" w:cs="Arial"/>
          <w:sz w:val="24"/>
          <w:szCs w:val="24"/>
        </w:rPr>
        <w:t>arunk</w:t>
      </w:r>
      <w:r w:rsidR="00796EF7">
        <w:rPr>
          <w:rFonts w:ascii="Arial" w:hAnsi="Arial" w:cs="Arial"/>
          <w:sz w:val="24"/>
          <w:szCs w:val="24"/>
        </w:rPr>
        <w:t>ach</w:t>
      </w:r>
      <w:r w:rsidR="00796EF7" w:rsidRPr="004213D4">
        <w:rPr>
          <w:rFonts w:ascii="Arial" w:hAnsi="Arial" w:cs="Arial"/>
          <w:sz w:val="24"/>
          <w:szCs w:val="24"/>
        </w:rPr>
        <w:t xml:space="preserve"> realizacji umów</w:t>
      </w:r>
      <w:r w:rsidR="00796EF7">
        <w:rPr>
          <w:rFonts w:ascii="Arial" w:hAnsi="Arial" w:cs="Arial"/>
          <w:sz w:val="24"/>
          <w:szCs w:val="24"/>
        </w:rPr>
        <w:t xml:space="preserve"> w zakresie </w:t>
      </w:r>
      <w:r w:rsidR="00796EF7" w:rsidRPr="00F7791E">
        <w:rPr>
          <w:rFonts w:ascii="Arial" w:hAnsi="Arial" w:cs="Arial"/>
          <w:sz w:val="24"/>
          <w:szCs w:val="24"/>
        </w:rPr>
        <w:t xml:space="preserve">terapia hiperbaryczna </w:t>
      </w:r>
      <w:r w:rsidR="00796EF7">
        <w:rPr>
          <w:rFonts w:ascii="Arial" w:hAnsi="Arial" w:cs="Arial"/>
          <w:sz w:val="24"/>
          <w:szCs w:val="24"/>
        </w:rPr>
        <w:t>(załącznik nr 3 do zarządzenia</w:t>
      </w:r>
      <w:r w:rsidR="00796EF7" w:rsidRPr="00F130B6">
        <w:rPr>
          <w:rFonts w:ascii="Arial" w:hAnsi="Arial" w:cs="Arial"/>
          <w:sz w:val="24"/>
          <w:szCs w:val="24"/>
        </w:rPr>
        <w:t>).</w:t>
      </w:r>
    </w:p>
    <w:p w:rsidR="004208F9" w:rsidRDefault="004208F9" w:rsidP="00796EF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1399">
        <w:rPr>
          <w:rFonts w:ascii="Arial" w:hAnsi="Arial" w:cs="Arial"/>
          <w:sz w:val="24"/>
          <w:szCs w:val="24"/>
        </w:rPr>
        <w:t>Pozostałe zmiany mają charakter porządkowy i legislacyjny</w:t>
      </w:r>
      <w:r>
        <w:rPr>
          <w:rFonts w:ascii="Arial" w:hAnsi="Arial" w:cs="Arial"/>
          <w:sz w:val="24"/>
          <w:szCs w:val="24"/>
        </w:rPr>
        <w:t>.</w:t>
      </w:r>
    </w:p>
    <w:p w:rsidR="00237DB8" w:rsidRDefault="00237DB8" w:rsidP="00237DB8">
      <w:pPr>
        <w:spacing w:after="0" w:line="36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237DB8">
        <w:rPr>
          <w:rFonts w:ascii="Arial" w:hAnsi="Arial" w:cs="Arial"/>
          <w:sz w:val="24"/>
          <w:szCs w:val="24"/>
        </w:rPr>
        <w:t>Szacowany skutek finansowy wynikający z wprowadzenia projektowanych zmian na dzień sporządzenia dokumentu został wyliczony w oparciu o dane dotyczące realizacji świadczeń w rodzaju świadczenia zdrowotne kontraktowane odrębnie w roku 2018.</w:t>
      </w:r>
      <w:r>
        <w:rPr>
          <w:rFonts w:ascii="Arial" w:hAnsi="Arial" w:cs="Arial"/>
          <w:sz w:val="24"/>
          <w:szCs w:val="24"/>
        </w:rPr>
        <w:t xml:space="preserve"> </w:t>
      </w:r>
      <w:r w:rsidRPr="00237DB8">
        <w:rPr>
          <w:rFonts w:ascii="Arial" w:hAnsi="Arial" w:cs="Arial"/>
          <w:sz w:val="24"/>
          <w:szCs w:val="24"/>
        </w:rPr>
        <w:t>Skutek finansowy oszacowano na około 24,5 do 26</w:t>
      </w:r>
      <w:r>
        <w:rPr>
          <w:rFonts w:ascii="Arial" w:hAnsi="Arial" w:cs="Arial"/>
          <w:sz w:val="24"/>
          <w:szCs w:val="24"/>
        </w:rPr>
        <w:t xml:space="preserve"> </w:t>
      </w:r>
      <w:r w:rsidRPr="00237DB8">
        <w:rPr>
          <w:rFonts w:ascii="Arial" w:hAnsi="Arial" w:cs="Arial"/>
          <w:sz w:val="24"/>
          <w:szCs w:val="24"/>
        </w:rPr>
        <w:t xml:space="preserve">mln zł na </w:t>
      </w:r>
      <w:r>
        <w:rPr>
          <w:rFonts w:ascii="Arial" w:hAnsi="Arial" w:cs="Arial"/>
          <w:sz w:val="24"/>
          <w:szCs w:val="24"/>
        </w:rPr>
        <w:br/>
      </w:r>
      <w:r w:rsidRPr="00237DB8">
        <w:rPr>
          <w:rFonts w:ascii="Arial" w:hAnsi="Arial" w:cs="Arial"/>
          <w:sz w:val="24"/>
          <w:szCs w:val="24"/>
        </w:rPr>
        <w:t>II półrocze 2019 r., co w skali roku daje 49 do 52 mln złotych</w:t>
      </w:r>
      <w:r w:rsidRPr="00237DB8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B773E1" w:rsidRDefault="00753953" w:rsidP="00237DB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72E5">
        <w:rPr>
          <w:rFonts w:ascii="Arial" w:hAnsi="Arial" w:cs="Arial"/>
          <w:sz w:val="24"/>
          <w:szCs w:val="24"/>
        </w:rPr>
        <w:t>Projekt zarządzenia Prezesa Narodowego Funduszu Zdrowia</w:t>
      </w:r>
      <w:r w:rsidR="006138C0">
        <w:rPr>
          <w:rFonts w:ascii="Arial" w:hAnsi="Arial" w:cs="Arial"/>
          <w:sz w:val="24"/>
          <w:szCs w:val="24"/>
        </w:rPr>
        <w:t xml:space="preserve">, zgodnie </w:t>
      </w:r>
      <w:r w:rsidR="006138C0">
        <w:rPr>
          <w:rFonts w:ascii="Arial" w:hAnsi="Arial" w:cs="Arial"/>
          <w:sz w:val="24"/>
          <w:szCs w:val="24"/>
        </w:rPr>
        <w:br/>
        <w:t xml:space="preserve">z </w:t>
      </w:r>
      <w:r w:rsidR="006138C0" w:rsidRPr="00613F0A">
        <w:rPr>
          <w:rFonts w:ascii="Arial" w:hAnsi="Arial" w:cs="Arial"/>
          <w:sz w:val="24"/>
          <w:szCs w:val="24"/>
        </w:rPr>
        <w:t>art.</w:t>
      </w:r>
      <w:r w:rsidR="006138C0">
        <w:rPr>
          <w:rFonts w:ascii="Arial" w:hAnsi="Arial" w:cs="Arial"/>
          <w:sz w:val="24"/>
          <w:szCs w:val="24"/>
        </w:rPr>
        <w:t> </w:t>
      </w:r>
      <w:r w:rsidR="006138C0" w:rsidRPr="00613F0A">
        <w:rPr>
          <w:rFonts w:ascii="Arial" w:hAnsi="Arial" w:cs="Arial"/>
          <w:sz w:val="24"/>
          <w:szCs w:val="24"/>
        </w:rPr>
        <w:t xml:space="preserve">146 </w:t>
      </w:r>
      <w:r w:rsidR="00B773E1" w:rsidRPr="00613F0A">
        <w:rPr>
          <w:rFonts w:ascii="Arial" w:hAnsi="Arial" w:cs="Arial"/>
          <w:sz w:val="24"/>
          <w:szCs w:val="24"/>
        </w:rPr>
        <w:t>ust. 4 ustawy o świadczeniach, oraz zgodnie z § 2 ust. 3 załącznika do rozporządzenia Ministra Zdrowia z dnia 8 września 2015 r. w sprawie ogólnych warunków umów o udzielanie świadczeń opieki zdrowotnej (Dz. U. 2016 r. poz</w:t>
      </w:r>
      <w:r>
        <w:rPr>
          <w:rFonts w:ascii="Arial" w:hAnsi="Arial" w:cs="Arial"/>
          <w:sz w:val="24"/>
          <w:szCs w:val="24"/>
        </w:rPr>
        <w:t>. 1146, z późn. zm.), został</w:t>
      </w:r>
      <w:r w:rsidR="00B773E1" w:rsidRPr="00613F0A">
        <w:rPr>
          <w:rFonts w:ascii="Arial" w:hAnsi="Arial" w:cs="Arial"/>
          <w:sz w:val="24"/>
          <w:szCs w:val="24"/>
        </w:rPr>
        <w:t xml:space="preserve"> przedstawion</w:t>
      </w:r>
      <w:r>
        <w:rPr>
          <w:rFonts w:ascii="Arial" w:hAnsi="Arial" w:cs="Arial"/>
          <w:sz w:val="24"/>
          <w:szCs w:val="24"/>
        </w:rPr>
        <w:t>y</w:t>
      </w:r>
      <w:r w:rsidR="00B773E1" w:rsidRPr="00613F0A">
        <w:rPr>
          <w:rFonts w:ascii="Arial" w:hAnsi="Arial" w:cs="Arial"/>
          <w:sz w:val="24"/>
          <w:szCs w:val="24"/>
        </w:rPr>
        <w:t xml:space="preserve"> do konsultacji zewnętrznych na okres 14 dni.</w:t>
      </w:r>
    </w:p>
    <w:p w:rsidR="00B773E1" w:rsidRPr="00B773E1" w:rsidRDefault="00B773E1" w:rsidP="00B773E1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73E1">
        <w:rPr>
          <w:rFonts w:ascii="Arial" w:eastAsia="Times New Roman" w:hAnsi="Arial" w:cs="Arial"/>
          <w:sz w:val="24"/>
          <w:szCs w:val="24"/>
          <w:lang w:eastAsia="pl-PL"/>
        </w:rPr>
        <w:t xml:space="preserve">Do projektu zarządzenia wpłynęło łącznie </w:t>
      </w:r>
      <w:r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 xml:space="preserve"> uwag od 1</w:t>
      </w:r>
      <w:r w:rsidR="002A7495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 xml:space="preserve"> podmiotów, przy czym od właściwych w sprawie podmiotów </w:t>
      </w:r>
      <w:r w:rsidR="002A7495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 xml:space="preserve"> opini</w:t>
      </w:r>
      <w:r w:rsidR="002A7495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9A5999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 xml:space="preserve"> od konsultanta krajowego w dziedzinie </w:t>
      </w:r>
      <w:r w:rsidR="002A7495" w:rsidRPr="002A7495">
        <w:rPr>
          <w:rFonts w:ascii="Arial" w:eastAsia="Times New Roman" w:hAnsi="Arial" w:cs="Arial"/>
          <w:sz w:val="24"/>
          <w:szCs w:val="24"/>
          <w:lang w:eastAsia="pl-PL"/>
        </w:rPr>
        <w:t>w dziedzinie transfuzjologii klinicznej</w:t>
      </w:r>
      <w:r w:rsidR="002A749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>oraz od reprezentatywnych organizacji świadczeniodawców (</w:t>
      </w:r>
      <w:r w:rsidR="002A7495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> opini</w:t>
      </w:r>
      <w:r w:rsidR="002A7495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>).</w:t>
      </w:r>
      <w:r w:rsidR="0000034B">
        <w:rPr>
          <w:rFonts w:ascii="Arial" w:eastAsia="Times New Roman" w:hAnsi="Arial" w:cs="Arial"/>
          <w:sz w:val="24"/>
          <w:szCs w:val="24"/>
          <w:lang w:eastAsia="pl-PL"/>
        </w:rPr>
        <w:t xml:space="preserve"> Znaczna część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 xml:space="preserve"> zgłoszonych uwag nie dotyczyła treści stanowiących przedmiot konsultacji, </w:t>
      </w:r>
      <w:r w:rsidR="002A7495">
        <w:rPr>
          <w:rFonts w:ascii="Arial" w:eastAsia="Times New Roman" w:hAnsi="Arial" w:cs="Arial"/>
          <w:sz w:val="24"/>
          <w:szCs w:val="24"/>
          <w:lang w:eastAsia="pl-PL"/>
        </w:rPr>
        <w:t xml:space="preserve">dlatego </w:t>
      </w:r>
      <w:r w:rsidR="00FD11D2">
        <w:rPr>
          <w:rFonts w:ascii="Arial" w:eastAsia="Times New Roman" w:hAnsi="Arial" w:cs="Arial"/>
          <w:sz w:val="24"/>
          <w:szCs w:val="24"/>
          <w:lang w:eastAsia="pl-PL"/>
        </w:rPr>
        <w:t>uwagi</w:t>
      </w:r>
      <w:r w:rsidR="0000034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773E1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2A7495">
        <w:rPr>
          <w:rFonts w:ascii="Arial" w:eastAsia="Times New Roman" w:hAnsi="Arial" w:cs="Arial"/>
          <w:sz w:val="24"/>
          <w:szCs w:val="24"/>
          <w:lang w:eastAsia="pl-PL"/>
        </w:rPr>
        <w:t>akie nie zostały uwzględnione.</w:t>
      </w:r>
      <w:r w:rsidR="00CE5701">
        <w:rPr>
          <w:rFonts w:ascii="Arial" w:eastAsia="Times New Roman" w:hAnsi="Arial" w:cs="Arial"/>
          <w:sz w:val="24"/>
          <w:szCs w:val="24"/>
          <w:lang w:eastAsia="pl-PL"/>
        </w:rPr>
        <w:t xml:space="preserve"> Pozostałe uwagi</w:t>
      </w:r>
      <w:r w:rsidR="0000034B">
        <w:rPr>
          <w:rFonts w:ascii="Arial" w:eastAsia="Times New Roman" w:hAnsi="Arial" w:cs="Arial"/>
          <w:sz w:val="24"/>
          <w:szCs w:val="24"/>
          <w:lang w:eastAsia="pl-PL"/>
        </w:rPr>
        <w:t>, po analizie</w:t>
      </w:r>
      <w:r w:rsidR="00CE5701">
        <w:rPr>
          <w:rFonts w:ascii="Arial" w:eastAsia="Times New Roman" w:hAnsi="Arial" w:cs="Arial"/>
          <w:sz w:val="24"/>
          <w:szCs w:val="24"/>
          <w:lang w:eastAsia="pl-PL"/>
        </w:rPr>
        <w:t xml:space="preserve"> nie zostały uznane za zasadne.</w:t>
      </w:r>
    </w:p>
    <w:p w:rsidR="008922F3" w:rsidRPr="00B773E1" w:rsidRDefault="00151624" w:rsidP="00B773E1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73E1">
        <w:rPr>
          <w:rFonts w:ascii="Arial" w:eastAsia="Times New Roman" w:hAnsi="Arial" w:cs="Arial"/>
          <w:sz w:val="24"/>
          <w:szCs w:val="24"/>
          <w:lang w:eastAsia="pl-PL"/>
        </w:rPr>
        <w:t xml:space="preserve">Przepisy zarządzenia, zgodnie z jego § 4, wchodzą w życie </w:t>
      </w:r>
      <w:r w:rsidR="005433C5" w:rsidRPr="00D66D9A">
        <w:rPr>
          <w:rFonts w:ascii="Arial" w:hAnsi="Arial"/>
          <w:sz w:val="24"/>
          <w:szCs w:val="24"/>
        </w:rPr>
        <w:t xml:space="preserve">w życie z dniem </w:t>
      </w:r>
      <w:r>
        <w:rPr>
          <w:rFonts w:ascii="Arial" w:hAnsi="Arial"/>
          <w:sz w:val="24"/>
          <w:szCs w:val="24"/>
        </w:rPr>
        <w:br/>
      </w:r>
      <w:r w:rsidR="005433C5">
        <w:rPr>
          <w:rFonts w:ascii="Arial" w:hAnsi="Arial"/>
          <w:sz w:val="24"/>
          <w:szCs w:val="24"/>
        </w:rPr>
        <w:t xml:space="preserve">1 lipca 2019 r., </w:t>
      </w:r>
      <w:r w:rsidR="005433C5" w:rsidRPr="00D66D9A">
        <w:rPr>
          <w:rFonts w:ascii="Arial" w:hAnsi="Arial"/>
          <w:sz w:val="24"/>
          <w:szCs w:val="24"/>
        </w:rPr>
        <w:t xml:space="preserve">z wyjątkiem § 1 pkt 2 </w:t>
      </w:r>
      <w:r w:rsidR="005433C5" w:rsidRPr="00D66D9A">
        <w:rPr>
          <w:rFonts w:ascii="Arial" w:eastAsia="Times New Roman" w:hAnsi="Arial" w:cs="Arial"/>
          <w:bCs/>
          <w:sz w:val="24"/>
          <w:szCs w:val="24"/>
          <w:lang w:eastAsia="pl-PL"/>
        </w:rPr>
        <w:t>oraz wierszy w lp. 52,60,62,64,141 i 144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433C5" w:rsidRPr="00D66D9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l </w:t>
      </w:r>
      <w:r w:rsidR="005433C5" w:rsidRPr="00D66D9A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załącznika nr 1 do niniejszego zarządzenia</w:t>
      </w:r>
      <w:r w:rsidR="005433C5" w:rsidRPr="00D66D9A">
        <w:rPr>
          <w:rFonts w:ascii="Arial" w:hAnsi="Arial"/>
          <w:sz w:val="24"/>
          <w:szCs w:val="24"/>
        </w:rPr>
        <w:t>, które wchodzą w życie z dniem 3 lipca 2019</w:t>
      </w:r>
      <w:r>
        <w:rPr>
          <w:rFonts w:ascii="Arial" w:hAnsi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/>
          <w:sz w:val="24"/>
          <w:szCs w:val="24"/>
        </w:rPr>
        <w:t>r.</w:t>
      </w:r>
    </w:p>
    <w:sectPr w:rsidR="008922F3" w:rsidRPr="00B773E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F3" w:rsidRDefault="005322F3" w:rsidP="00EA4D90">
      <w:pPr>
        <w:spacing w:after="0" w:line="240" w:lineRule="auto"/>
      </w:pPr>
      <w:r>
        <w:separator/>
      </w:r>
    </w:p>
  </w:endnote>
  <w:endnote w:type="continuationSeparator" w:id="0">
    <w:p w:rsidR="005322F3" w:rsidRDefault="005322F3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151624">
          <w:rPr>
            <w:rFonts w:ascii="Arial" w:hAnsi="Arial" w:cs="Arial"/>
            <w:noProof/>
          </w:rPr>
          <w:t>3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F3" w:rsidRDefault="005322F3" w:rsidP="00EA4D90">
      <w:pPr>
        <w:spacing w:after="0" w:line="240" w:lineRule="auto"/>
      </w:pPr>
      <w:r>
        <w:separator/>
      </w:r>
    </w:p>
  </w:footnote>
  <w:footnote w:type="continuationSeparator" w:id="0">
    <w:p w:rsidR="005322F3" w:rsidRDefault="005322F3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12C50"/>
    <w:multiLevelType w:val="hybridMultilevel"/>
    <w:tmpl w:val="8D1E59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7363B8"/>
    <w:multiLevelType w:val="hybridMultilevel"/>
    <w:tmpl w:val="D13A503E"/>
    <w:lvl w:ilvl="0" w:tplc="31A4AC7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7921CEA"/>
    <w:multiLevelType w:val="hybridMultilevel"/>
    <w:tmpl w:val="C7D6D34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34B"/>
    <w:rsid w:val="00054E99"/>
    <w:rsid w:val="00066F02"/>
    <w:rsid w:val="000C76C2"/>
    <w:rsid w:val="000D6931"/>
    <w:rsid w:val="000F76D4"/>
    <w:rsid w:val="001002B0"/>
    <w:rsid w:val="00127113"/>
    <w:rsid w:val="00142FB8"/>
    <w:rsid w:val="00151624"/>
    <w:rsid w:val="001959C8"/>
    <w:rsid w:val="001A3083"/>
    <w:rsid w:val="002076B1"/>
    <w:rsid w:val="00237DB8"/>
    <w:rsid w:val="00256518"/>
    <w:rsid w:val="002A7495"/>
    <w:rsid w:val="00315311"/>
    <w:rsid w:val="00325C0B"/>
    <w:rsid w:val="00350FD0"/>
    <w:rsid w:val="003543BA"/>
    <w:rsid w:val="0036549D"/>
    <w:rsid w:val="00370F4A"/>
    <w:rsid w:val="0037581E"/>
    <w:rsid w:val="003C3935"/>
    <w:rsid w:val="003C44B3"/>
    <w:rsid w:val="004208F9"/>
    <w:rsid w:val="0045331E"/>
    <w:rsid w:val="00466F58"/>
    <w:rsid w:val="00487BDF"/>
    <w:rsid w:val="00491BEC"/>
    <w:rsid w:val="004A0EE5"/>
    <w:rsid w:val="004C76CC"/>
    <w:rsid w:val="00517337"/>
    <w:rsid w:val="005322F3"/>
    <w:rsid w:val="005433C5"/>
    <w:rsid w:val="00574C13"/>
    <w:rsid w:val="005961F5"/>
    <w:rsid w:val="00596E3E"/>
    <w:rsid w:val="00606C5A"/>
    <w:rsid w:val="006138C0"/>
    <w:rsid w:val="00613F0A"/>
    <w:rsid w:val="006651D7"/>
    <w:rsid w:val="0067602F"/>
    <w:rsid w:val="0072628A"/>
    <w:rsid w:val="00753953"/>
    <w:rsid w:val="00796EF7"/>
    <w:rsid w:val="007C45E1"/>
    <w:rsid w:val="007C7E66"/>
    <w:rsid w:val="008065AE"/>
    <w:rsid w:val="00833BE0"/>
    <w:rsid w:val="00844356"/>
    <w:rsid w:val="00854D75"/>
    <w:rsid w:val="00876231"/>
    <w:rsid w:val="008922F3"/>
    <w:rsid w:val="008D5FA0"/>
    <w:rsid w:val="009146AC"/>
    <w:rsid w:val="0093228A"/>
    <w:rsid w:val="0097183C"/>
    <w:rsid w:val="009A5999"/>
    <w:rsid w:val="009A5EC5"/>
    <w:rsid w:val="009B364A"/>
    <w:rsid w:val="009D07F9"/>
    <w:rsid w:val="009E054F"/>
    <w:rsid w:val="009F3221"/>
    <w:rsid w:val="00A033A7"/>
    <w:rsid w:val="00A0342F"/>
    <w:rsid w:val="00A264BC"/>
    <w:rsid w:val="00AC3223"/>
    <w:rsid w:val="00AD0DD5"/>
    <w:rsid w:val="00B043EE"/>
    <w:rsid w:val="00B15BF2"/>
    <w:rsid w:val="00B31753"/>
    <w:rsid w:val="00B37678"/>
    <w:rsid w:val="00B773E1"/>
    <w:rsid w:val="00B91BA8"/>
    <w:rsid w:val="00BA7910"/>
    <w:rsid w:val="00BD4DF2"/>
    <w:rsid w:val="00BF372F"/>
    <w:rsid w:val="00C01623"/>
    <w:rsid w:val="00C548C1"/>
    <w:rsid w:val="00C90B9D"/>
    <w:rsid w:val="00CE5701"/>
    <w:rsid w:val="00D10B7D"/>
    <w:rsid w:val="00D90A22"/>
    <w:rsid w:val="00E2554C"/>
    <w:rsid w:val="00E31C26"/>
    <w:rsid w:val="00EA4D90"/>
    <w:rsid w:val="00F130B6"/>
    <w:rsid w:val="00F2415D"/>
    <w:rsid w:val="00F7791E"/>
    <w:rsid w:val="00F80B65"/>
    <w:rsid w:val="00F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C76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C7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7E780-12F0-443D-95E2-F5368F979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Kołakowski Tomasz</cp:lastModifiedBy>
  <cp:revision>5</cp:revision>
  <cp:lastPrinted>2019-06-13T15:40:00Z</cp:lastPrinted>
  <dcterms:created xsi:type="dcterms:W3CDTF">2019-06-25T09:11:00Z</dcterms:created>
  <dcterms:modified xsi:type="dcterms:W3CDTF">2019-06-27T07:57:00Z</dcterms:modified>
</cp:coreProperties>
</file>