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4FF" w:rsidRPr="00907E0B" w:rsidRDefault="002542AB" w:rsidP="004A77EF">
      <w:pPr>
        <w:jc w:val="center"/>
        <w:rPr>
          <w:rFonts w:ascii="Arial" w:hAnsi="Arial" w:cs="Arial"/>
          <w:b/>
        </w:rPr>
      </w:pPr>
      <w:bookmarkStart w:id="0" w:name="_GoBack"/>
      <w:bookmarkEnd w:id="0"/>
      <w:r w:rsidRPr="00907E0B">
        <w:rPr>
          <w:rFonts w:ascii="Arial" w:hAnsi="Arial" w:cs="Arial"/>
          <w:b/>
        </w:rPr>
        <w:t>Uzasadnienie</w:t>
      </w:r>
    </w:p>
    <w:p w:rsidR="004A77EF" w:rsidRDefault="004A77EF" w:rsidP="004168CE">
      <w:pPr>
        <w:spacing w:line="360" w:lineRule="auto"/>
        <w:jc w:val="both"/>
        <w:rPr>
          <w:rFonts w:ascii="Arial" w:hAnsi="Arial" w:cs="Arial"/>
          <w:bCs/>
        </w:rPr>
      </w:pPr>
    </w:p>
    <w:p w:rsidR="00E56AA9" w:rsidRDefault="00E56AA9" w:rsidP="004168CE">
      <w:pPr>
        <w:spacing w:line="360" w:lineRule="auto"/>
        <w:jc w:val="both"/>
        <w:rPr>
          <w:rFonts w:ascii="Arial" w:hAnsi="Arial" w:cs="Arial"/>
          <w:bCs/>
        </w:rPr>
      </w:pPr>
    </w:p>
    <w:p w:rsidR="00172B98" w:rsidRPr="00172B98" w:rsidRDefault="00172B98" w:rsidP="00B4761D">
      <w:pPr>
        <w:spacing w:after="240" w:line="360" w:lineRule="auto"/>
        <w:ind w:firstLine="567"/>
        <w:jc w:val="both"/>
        <w:rPr>
          <w:rFonts w:ascii="Arial" w:hAnsi="Arial" w:cs="Arial"/>
          <w:bCs/>
        </w:rPr>
      </w:pPr>
      <w:r w:rsidRPr="00172B98">
        <w:rPr>
          <w:rFonts w:ascii="Arial" w:hAnsi="Arial" w:cs="Arial"/>
          <w:bCs/>
        </w:rPr>
        <w:t>Zarządzenie stanowi realizację upoważnie</w:t>
      </w:r>
      <w:r w:rsidR="004168CE">
        <w:rPr>
          <w:rFonts w:ascii="Arial" w:hAnsi="Arial" w:cs="Arial"/>
          <w:bCs/>
        </w:rPr>
        <w:t>nia ustawowego zawartego w art. </w:t>
      </w:r>
      <w:r w:rsidRPr="00172B98">
        <w:rPr>
          <w:rFonts w:ascii="Arial" w:hAnsi="Arial" w:cs="Arial"/>
          <w:bCs/>
        </w:rPr>
        <w:t>146</w:t>
      </w:r>
      <w:r w:rsidR="004168CE">
        <w:rPr>
          <w:rFonts w:ascii="Arial" w:hAnsi="Arial" w:cs="Arial"/>
          <w:bCs/>
        </w:rPr>
        <w:t xml:space="preserve"> ust. 1</w:t>
      </w:r>
      <w:r w:rsidRPr="00172B98">
        <w:rPr>
          <w:rFonts w:ascii="Arial" w:hAnsi="Arial" w:cs="Arial"/>
          <w:bCs/>
        </w:rPr>
        <w:t xml:space="preserve"> ustawy z dnia 27 sierpnia 2004 r. o świadczeniach o</w:t>
      </w:r>
      <w:r>
        <w:rPr>
          <w:rFonts w:ascii="Arial" w:hAnsi="Arial" w:cs="Arial"/>
          <w:bCs/>
        </w:rPr>
        <w:t>pieki zdrowotnej finansowanych</w:t>
      </w:r>
      <w:r w:rsidR="00F60368">
        <w:rPr>
          <w:rFonts w:ascii="Arial" w:hAnsi="Arial" w:cs="Arial"/>
          <w:bCs/>
        </w:rPr>
        <w:t> </w:t>
      </w:r>
      <w:r w:rsidRPr="00172B98">
        <w:rPr>
          <w:rFonts w:ascii="Arial" w:hAnsi="Arial" w:cs="Arial"/>
          <w:bCs/>
        </w:rPr>
        <w:t>ze środków publicznych</w:t>
      </w:r>
      <w:r w:rsidR="004168CE">
        <w:rPr>
          <w:rFonts w:ascii="Arial" w:hAnsi="Arial" w:cs="Arial"/>
          <w:bCs/>
        </w:rPr>
        <w:t xml:space="preserve"> (Dz. U. z 2017 r. poz. 1938, z późn. zm.),</w:t>
      </w:r>
      <w:r w:rsidRPr="00172B98">
        <w:rPr>
          <w:rFonts w:ascii="Arial" w:hAnsi="Arial" w:cs="Arial"/>
          <w:bCs/>
        </w:rPr>
        <w:t xml:space="preserve"> zwanej dalej „ustawą</w:t>
      </w:r>
      <w:r w:rsidR="00F60368">
        <w:rPr>
          <w:rFonts w:ascii="Arial" w:hAnsi="Arial" w:cs="Arial"/>
          <w:bCs/>
        </w:rPr>
        <w:t xml:space="preserve"> </w:t>
      </w:r>
      <w:r w:rsidRPr="00172B98">
        <w:rPr>
          <w:rFonts w:ascii="Arial" w:hAnsi="Arial" w:cs="Arial"/>
          <w:bCs/>
        </w:rPr>
        <w:t>o świadczeniach”, zgodnie z którym Prezes Narodowego Funduszu Zdrowia określa przedmiot postępow</w:t>
      </w:r>
      <w:r w:rsidR="004168CE">
        <w:rPr>
          <w:rFonts w:ascii="Arial" w:hAnsi="Arial" w:cs="Arial"/>
          <w:bCs/>
        </w:rPr>
        <w:t>ania w sprawie zawarcia umowy o </w:t>
      </w:r>
      <w:r w:rsidRPr="00172B98">
        <w:rPr>
          <w:rFonts w:ascii="Arial" w:hAnsi="Arial" w:cs="Arial"/>
          <w:bCs/>
        </w:rPr>
        <w:t xml:space="preserve">udzielanie świadczeń opieki zdrowotnej </w:t>
      </w:r>
      <w:r w:rsidR="00F60368">
        <w:rPr>
          <w:rFonts w:ascii="Arial" w:hAnsi="Arial" w:cs="Arial"/>
          <w:bCs/>
        </w:rPr>
        <w:t>oraz szczegółowe warunki umów o </w:t>
      </w:r>
      <w:r w:rsidRPr="00172B98">
        <w:rPr>
          <w:rFonts w:ascii="Arial" w:hAnsi="Arial" w:cs="Arial"/>
          <w:bCs/>
        </w:rPr>
        <w:t>udzielanie świadczeń opieki zdrowotnej, obejmujące w szczególności obszar terytorialny, dla którego jest przeprowadzane postępowanie w sprawie zawarcia umów ze świadczeniodawcami.</w:t>
      </w:r>
    </w:p>
    <w:p w:rsidR="00641618" w:rsidRPr="00641618" w:rsidRDefault="00641618" w:rsidP="00641618">
      <w:pPr>
        <w:spacing w:before="120" w:after="120" w:line="360" w:lineRule="auto"/>
        <w:ind w:firstLine="602"/>
        <w:jc w:val="both"/>
        <w:rPr>
          <w:rFonts w:ascii="Arial" w:hAnsi="Arial" w:cs="Arial"/>
        </w:rPr>
      </w:pPr>
      <w:r w:rsidRPr="00641618">
        <w:rPr>
          <w:rFonts w:ascii="Arial" w:hAnsi="Arial" w:cs="Arial"/>
        </w:rPr>
        <w:t>Zmiany wprowadzone niniejszym zarządzeniem do zarządzenia Nr</w:t>
      </w:r>
      <w:r w:rsidR="00D72516">
        <w:rPr>
          <w:rFonts w:ascii="Arial" w:hAnsi="Arial" w:cs="Arial"/>
        </w:rPr>
        <w:t> </w:t>
      </w:r>
      <w:r w:rsidRPr="00641618">
        <w:rPr>
          <w:rFonts w:ascii="Arial" w:hAnsi="Arial" w:cs="Arial"/>
        </w:rPr>
        <w:t>68/2016/DGL Prezesa Narodowego Funduszu Zdrowia z dnia 30 czerwca 2016 r. w sprawie określenia warunków zawierania i realizacji umów w rodzaju leczenie szpitalne w zakresie chemioterapia wynikają z konieczności dostosowania przepisów zarządzenia do aktualnego stanu faktycznego w zakresie refundacji leków stosowanych w programach lekowych, tj. do obwieszczenia Ministra Zdrowia z dnia 26 lutego 2018 r. w sprawie wykazu refundowanych leków, środków spożywczych specjalnego przeznaczenia żywieniowego oraz wyrobów medycznych na dzień 1</w:t>
      </w:r>
      <w:r w:rsidR="00D72516">
        <w:rPr>
          <w:rFonts w:ascii="Arial" w:hAnsi="Arial" w:cs="Arial"/>
        </w:rPr>
        <w:t> </w:t>
      </w:r>
      <w:r w:rsidRPr="00641618">
        <w:rPr>
          <w:rFonts w:ascii="Arial" w:hAnsi="Arial" w:cs="Arial"/>
        </w:rPr>
        <w:t xml:space="preserve">marca 2018 r. (Dz. Urz. Min. </w:t>
      </w:r>
      <w:proofErr w:type="spellStart"/>
      <w:r w:rsidRPr="00641618">
        <w:rPr>
          <w:rFonts w:ascii="Arial" w:hAnsi="Arial" w:cs="Arial"/>
        </w:rPr>
        <w:t>Zdr</w:t>
      </w:r>
      <w:proofErr w:type="spellEnd"/>
      <w:r w:rsidRPr="00641618">
        <w:rPr>
          <w:rFonts w:ascii="Arial" w:hAnsi="Arial" w:cs="Arial"/>
        </w:rPr>
        <w:t>. poz. 13 ), wydanego na podstawie art. 37 ust. 1 ustawy z dnia 12 maja 2011 r. o refundacji leków, środków spożywczych specjalnego przeznaczenia żywieniowego oraz wyrobów medycznych (Dz. U. z 2017 r. poz. 1844), zwanej dalej „ustawą o refundacji”.</w:t>
      </w:r>
    </w:p>
    <w:p w:rsidR="00641618" w:rsidRPr="00F60368" w:rsidRDefault="00641618" w:rsidP="00641618">
      <w:pPr>
        <w:spacing w:before="120" w:after="120" w:line="360" w:lineRule="auto"/>
        <w:ind w:firstLine="602"/>
        <w:jc w:val="both"/>
        <w:rPr>
          <w:rFonts w:ascii="Arial" w:hAnsi="Arial" w:cs="Arial"/>
        </w:rPr>
      </w:pPr>
      <w:r w:rsidRPr="00641618">
        <w:rPr>
          <w:rFonts w:ascii="Arial" w:hAnsi="Arial" w:cs="Arial"/>
        </w:rPr>
        <w:t>Zmiany te dotyczą w szczególności:</w:t>
      </w:r>
    </w:p>
    <w:p w:rsidR="00596B91" w:rsidRDefault="00596B91" w:rsidP="007B4E78">
      <w:pPr>
        <w:pStyle w:val="Akapitzlist"/>
        <w:numPr>
          <w:ilvl w:val="0"/>
          <w:numId w:val="42"/>
        </w:numPr>
        <w:spacing w:before="120" w:after="120" w:line="360" w:lineRule="auto"/>
        <w:ind w:left="567" w:hanging="567"/>
        <w:jc w:val="both"/>
        <w:rPr>
          <w:rFonts w:ascii="Arial" w:hAnsi="Arial" w:cs="Arial"/>
        </w:rPr>
      </w:pPr>
      <w:r>
        <w:rPr>
          <w:rFonts w:ascii="Arial" w:hAnsi="Arial" w:cs="Arial"/>
        </w:rPr>
        <w:t>dodani</w:t>
      </w:r>
      <w:r w:rsidR="00641618">
        <w:rPr>
          <w:rFonts w:ascii="Arial" w:hAnsi="Arial" w:cs="Arial"/>
        </w:rPr>
        <w:t>a</w:t>
      </w:r>
      <w:r w:rsidR="00DF2F2F">
        <w:rPr>
          <w:rFonts w:ascii="Arial" w:hAnsi="Arial" w:cs="Arial"/>
        </w:rPr>
        <w:t xml:space="preserve"> w</w:t>
      </w:r>
      <w:r>
        <w:rPr>
          <w:rFonts w:ascii="Arial" w:hAnsi="Arial" w:cs="Arial"/>
        </w:rPr>
        <w:t xml:space="preserve"> §</w:t>
      </w:r>
      <w:r w:rsidR="00DF2F2F">
        <w:rPr>
          <w:rFonts w:ascii="Arial" w:hAnsi="Arial" w:cs="Arial"/>
        </w:rPr>
        <w:t xml:space="preserve"> </w:t>
      </w:r>
      <w:r>
        <w:rPr>
          <w:rFonts w:ascii="Arial" w:hAnsi="Arial" w:cs="Arial"/>
        </w:rPr>
        <w:t>2 pkt 21 określającego definicję współczynnika korygującego;</w:t>
      </w:r>
    </w:p>
    <w:p w:rsidR="00DF2F2F" w:rsidRDefault="00DF2F2F" w:rsidP="00A30B94">
      <w:pPr>
        <w:pStyle w:val="Akapitzlist"/>
        <w:numPr>
          <w:ilvl w:val="0"/>
          <w:numId w:val="42"/>
        </w:numPr>
        <w:spacing w:before="120" w:after="120" w:line="360" w:lineRule="auto"/>
        <w:ind w:left="567" w:hanging="567"/>
        <w:jc w:val="both"/>
        <w:rPr>
          <w:rFonts w:ascii="Arial" w:hAnsi="Arial" w:cs="Arial"/>
        </w:rPr>
      </w:pPr>
      <w:r>
        <w:rPr>
          <w:rFonts w:ascii="Arial" w:hAnsi="Arial" w:cs="Arial"/>
        </w:rPr>
        <w:t>modyfikacji pkt 4 w ust. 5 § 14a, która skutkować będzie wydawaniem opinii odnośnie zasadności utworzenia nowych miejsc udzielania świadczeń przez konsultantów krajowych lub wojewódzkich w dziedzinach medycyny adekwatnych do specjalności komórki organizacyjnej objętej wnioskiem o nowe miejsce udzielania świadczeń – uwaga Mazowieckiego OW NFZ;</w:t>
      </w:r>
    </w:p>
    <w:p w:rsidR="002C51CE" w:rsidRDefault="00DF2F2F" w:rsidP="00A30B94">
      <w:pPr>
        <w:pStyle w:val="Akapitzlist"/>
        <w:numPr>
          <w:ilvl w:val="0"/>
          <w:numId w:val="42"/>
        </w:numPr>
        <w:spacing w:before="120" w:after="120" w:line="360" w:lineRule="auto"/>
        <w:ind w:left="567" w:hanging="567"/>
        <w:jc w:val="both"/>
        <w:rPr>
          <w:rFonts w:ascii="Arial" w:hAnsi="Arial" w:cs="Arial"/>
        </w:rPr>
      </w:pPr>
      <w:r>
        <w:rPr>
          <w:rFonts w:ascii="Arial" w:hAnsi="Arial" w:cs="Arial"/>
        </w:rPr>
        <w:t>d</w:t>
      </w:r>
      <w:r w:rsidR="00596B91" w:rsidRPr="002C51CE">
        <w:rPr>
          <w:rFonts w:ascii="Arial" w:hAnsi="Arial" w:cs="Arial"/>
        </w:rPr>
        <w:t>odani</w:t>
      </w:r>
      <w:r w:rsidR="00641618">
        <w:rPr>
          <w:rFonts w:ascii="Arial" w:hAnsi="Arial" w:cs="Arial"/>
        </w:rPr>
        <w:t>a</w:t>
      </w:r>
      <w:r w:rsidR="00596B91" w:rsidRPr="002C51CE">
        <w:rPr>
          <w:rFonts w:ascii="Arial" w:hAnsi="Arial" w:cs="Arial"/>
        </w:rPr>
        <w:t xml:space="preserve"> </w:t>
      </w:r>
      <w:r w:rsidR="00977240" w:rsidRPr="002C51CE">
        <w:rPr>
          <w:rFonts w:ascii="Arial" w:hAnsi="Arial" w:cs="Arial"/>
        </w:rPr>
        <w:t>§</w:t>
      </w:r>
      <w:r w:rsidRPr="002C51CE">
        <w:rPr>
          <w:rFonts w:ascii="Arial" w:hAnsi="Arial" w:cs="Arial"/>
        </w:rPr>
        <w:t>14</w:t>
      </w:r>
      <w:r>
        <w:rPr>
          <w:rFonts w:ascii="Arial" w:hAnsi="Arial" w:cs="Arial"/>
        </w:rPr>
        <w:t>b</w:t>
      </w:r>
      <w:r w:rsidRPr="002C51CE">
        <w:rPr>
          <w:rFonts w:ascii="Arial" w:hAnsi="Arial" w:cs="Arial"/>
        </w:rPr>
        <w:t xml:space="preserve"> </w:t>
      </w:r>
      <w:r w:rsidR="00977240" w:rsidRPr="002C51CE">
        <w:rPr>
          <w:rFonts w:ascii="Arial" w:hAnsi="Arial" w:cs="Arial"/>
        </w:rPr>
        <w:t xml:space="preserve">zgodnie z którym premiowane będzie stosowanie tańszych odpowiedników leków zawierających substancje czynne </w:t>
      </w:r>
      <w:proofErr w:type="spellStart"/>
      <w:r w:rsidR="00977240" w:rsidRPr="002C51CE">
        <w:rPr>
          <w:rFonts w:ascii="Arial" w:hAnsi="Arial" w:cs="Arial"/>
        </w:rPr>
        <w:t>kapecytabina</w:t>
      </w:r>
      <w:proofErr w:type="spellEnd"/>
      <w:r w:rsidR="00977240" w:rsidRPr="002C51CE">
        <w:rPr>
          <w:rFonts w:ascii="Arial" w:hAnsi="Arial" w:cs="Arial"/>
        </w:rPr>
        <w:t xml:space="preserve"> oraz </w:t>
      </w:r>
      <w:proofErr w:type="spellStart"/>
      <w:r w:rsidR="00977240" w:rsidRPr="002C51CE">
        <w:rPr>
          <w:rFonts w:ascii="Arial" w:hAnsi="Arial" w:cs="Arial"/>
        </w:rPr>
        <w:t>bendamustyna</w:t>
      </w:r>
      <w:proofErr w:type="spellEnd"/>
      <w:r w:rsidR="00977240" w:rsidRPr="002C51CE">
        <w:rPr>
          <w:rFonts w:ascii="Arial" w:hAnsi="Arial" w:cs="Arial"/>
        </w:rPr>
        <w:t>. Analiza rozliczania ww. subs</w:t>
      </w:r>
      <w:r w:rsidR="00FD3188">
        <w:rPr>
          <w:rFonts w:ascii="Arial" w:hAnsi="Arial" w:cs="Arial"/>
        </w:rPr>
        <w:t>tancji czynnych wykazała, że czę</w:t>
      </w:r>
      <w:r w:rsidR="00977240" w:rsidRPr="002C51CE">
        <w:rPr>
          <w:rFonts w:ascii="Arial" w:hAnsi="Arial" w:cs="Arial"/>
        </w:rPr>
        <w:t xml:space="preserve">ść </w:t>
      </w:r>
      <w:r w:rsidR="00977240" w:rsidRPr="002C51CE">
        <w:rPr>
          <w:rFonts w:ascii="Arial" w:hAnsi="Arial" w:cs="Arial"/>
        </w:rPr>
        <w:lastRenderedPageBreak/>
        <w:t xml:space="preserve">świadczeniodawców, mimo refundacji leków równoważnych, stosuje wyłącznie leki referencyjne, których koszt jest znacznie wyższy. W celu zmiany opisanej sytuacji proponuje się wprowadzenie współczynnika korygującego, który zapewni premiowanie stosowania tańszych odpowiedników leków. Współczynnik korygujący </w:t>
      </w:r>
      <w:r w:rsidR="002C51CE" w:rsidRPr="002C51CE">
        <w:rPr>
          <w:rFonts w:ascii="Arial" w:hAnsi="Arial" w:cs="Arial"/>
        </w:rPr>
        <w:t xml:space="preserve">pozwoli na </w:t>
      </w:r>
      <w:r w:rsidR="00977240" w:rsidRPr="002C51CE">
        <w:rPr>
          <w:rFonts w:ascii="Arial" w:hAnsi="Arial" w:cs="Arial"/>
        </w:rPr>
        <w:t>zwiększenie dostępu pacjentów do terapii poprzez obniżenie jej kosztów</w:t>
      </w:r>
      <w:r w:rsidR="002C51CE">
        <w:rPr>
          <w:rFonts w:ascii="Arial" w:hAnsi="Arial" w:cs="Arial"/>
        </w:rPr>
        <w:t>,</w:t>
      </w:r>
      <w:r w:rsidR="00977240" w:rsidRPr="002C51CE">
        <w:rPr>
          <w:rFonts w:ascii="Arial" w:hAnsi="Arial" w:cs="Arial"/>
        </w:rPr>
        <w:t xml:space="preserve"> </w:t>
      </w:r>
      <w:r w:rsidR="002C51CE" w:rsidRPr="002C51CE">
        <w:rPr>
          <w:rFonts w:ascii="Arial" w:hAnsi="Arial" w:cs="Arial"/>
        </w:rPr>
        <w:t xml:space="preserve">co pozwoli na leczenie większej </w:t>
      </w:r>
      <w:r w:rsidR="008F5DE6">
        <w:rPr>
          <w:rFonts w:ascii="Arial" w:hAnsi="Arial" w:cs="Arial"/>
        </w:rPr>
        <w:t>grupy chorych. Szacowane oszczędności wynikające z wprowadzenia wyżej opisanego mechanizmu mogą wynieść ok. 3,2 mln złotych rocznie</w:t>
      </w:r>
      <w:r>
        <w:rPr>
          <w:rFonts w:ascii="Arial" w:hAnsi="Arial" w:cs="Arial"/>
        </w:rPr>
        <w:t xml:space="preserve">. Prezes Narodowego Funduszu Zdrowia, na podstawie ogólnych warunków umów,  jest uprawniony do wprowadzania współczynników korygujących jako mechanizmu zwiększającego dostęp do świadczeń opieki zdrowotnej. Wprowadzona zmiana nie ogranicza swobody wyboru leków przez szpital czy lekarza, ponieważ w odniesieniu do sytuacji obecnie obowiązującej w żadnym punkcie nie pogarsza pozycji świadczeniodawcy, lekarza czy pacjenta. Zakup tańszych odpowiedników leków refundowanych i korzystanie z opisanego wyżej współczynnika korygującego będą dobrowolne. Zaproponowany mechanizm nie wpływa także na wydane decyzje refundacyjne ani na zawarte instrumenty dzielenia ryzyka. Proponowane rozwiązanie doprowadzi do zwiększenia dostępności do świadczeń w różnych mechanizmach - m.in. poprzez uwolnienie środków finansowych w ramach całkowitego budżetu na refundację, poprawę sytuacji finansowej świadczeniodawców korzystających ze współczynnika korygującego, a także poprzez usprawnienie i zracjonalizowanie gospodarki lekami w szpitalach. W przyszłości stosowanie tego mechanizmu zostanie rozszerzone na inne substancje czynne, a także zostaną wprowadzone kolejne rozwiązania pozwalające zracjonalizować wydatki na leki refundowane. Oszczędności uzyskane w zakresie refundacji leków zostaną przeznaczone na finansowanie nowych leków objętych decyzjami refundacyjnymi Ministra Zdrowia </w:t>
      </w:r>
      <w:r w:rsidR="008F5DE6">
        <w:rPr>
          <w:rFonts w:ascii="Arial" w:hAnsi="Arial" w:cs="Arial"/>
        </w:rPr>
        <w:t>;</w:t>
      </w:r>
    </w:p>
    <w:p w:rsidR="00F60368" w:rsidRPr="002C51CE" w:rsidRDefault="00DF2F2F" w:rsidP="002B4B2D">
      <w:pPr>
        <w:pStyle w:val="Akapitzlist"/>
        <w:numPr>
          <w:ilvl w:val="0"/>
          <w:numId w:val="42"/>
        </w:numPr>
        <w:spacing w:before="120" w:after="120" w:line="360" w:lineRule="auto"/>
        <w:ind w:left="567" w:hanging="567"/>
        <w:jc w:val="both"/>
        <w:rPr>
          <w:rFonts w:ascii="Arial" w:hAnsi="Arial" w:cs="Arial"/>
        </w:rPr>
      </w:pPr>
      <w:r>
        <w:rPr>
          <w:rFonts w:ascii="Arial" w:hAnsi="Arial" w:cs="Arial"/>
        </w:rPr>
        <w:t xml:space="preserve">modyfikacji </w:t>
      </w:r>
      <w:r w:rsidR="00F60368" w:rsidRPr="002C51CE">
        <w:rPr>
          <w:rFonts w:ascii="Arial" w:hAnsi="Arial" w:cs="Arial"/>
        </w:rPr>
        <w:t>załącznik</w:t>
      </w:r>
      <w:r w:rsidR="0088169C" w:rsidRPr="002C51CE">
        <w:rPr>
          <w:rFonts w:ascii="Arial" w:hAnsi="Arial" w:cs="Arial"/>
        </w:rPr>
        <w:t>a</w:t>
      </w:r>
      <w:r w:rsidR="00F60368" w:rsidRPr="002C51CE">
        <w:rPr>
          <w:rFonts w:ascii="Arial" w:hAnsi="Arial" w:cs="Arial"/>
        </w:rPr>
        <w:t xml:space="preserve"> nr 1n do zarządzenia</w:t>
      </w:r>
      <w:r w:rsidR="00641618">
        <w:rPr>
          <w:rFonts w:ascii="Arial" w:hAnsi="Arial" w:cs="Arial"/>
        </w:rPr>
        <w:t>, określającego</w:t>
      </w:r>
      <w:r w:rsidR="00F60368" w:rsidRPr="002C51CE">
        <w:rPr>
          <w:rFonts w:ascii="Arial" w:hAnsi="Arial" w:cs="Arial"/>
        </w:rPr>
        <w:t>:</w:t>
      </w:r>
    </w:p>
    <w:p w:rsidR="00CE478D" w:rsidRDefault="00F60368" w:rsidP="007B4E78">
      <w:pPr>
        <w:pStyle w:val="Akapitzlist"/>
        <w:numPr>
          <w:ilvl w:val="1"/>
          <w:numId w:val="42"/>
        </w:numPr>
        <w:spacing w:before="120" w:after="120" w:line="360" w:lineRule="auto"/>
        <w:ind w:left="851" w:hanging="284"/>
        <w:jc w:val="both"/>
        <w:rPr>
          <w:rFonts w:ascii="Arial" w:hAnsi="Arial" w:cs="Arial"/>
        </w:rPr>
      </w:pPr>
      <w:r w:rsidRPr="00F60368">
        <w:rPr>
          <w:rFonts w:ascii="Arial" w:hAnsi="Arial" w:cs="Arial"/>
        </w:rPr>
        <w:t>w części A</w:t>
      </w:r>
      <w:r w:rsidR="00641618">
        <w:rPr>
          <w:rFonts w:ascii="Arial" w:hAnsi="Arial" w:cs="Arial"/>
        </w:rPr>
        <w:t xml:space="preserve">, </w:t>
      </w:r>
      <w:r w:rsidRPr="00F60368">
        <w:rPr>
          <w:rFonts w:ascii="Arial" w:hAnsi="Arial" w:cs="Arial"/>
        </w:rPr>
        <w:t>Katalog leków refundowanych stosowanych w</w:t>
      </w:r>
      <w:r w:rsidR="001F3E89">
        <w:rPr>
          <w:rFonts w:ascii="Arial" w:hAnsi="Arial" w:cs="Arial"/>
        </w:rPr>
        <w:t> </w:t>
      </w:r>
      <w:r w:rsidR="00CE478D">
        <w:rPr>
          <w:rFonts w:ascii="Arial" w:hAnsi="Arial" w:cs="Arial"/>
        </w:rPr>
        <w:t>chemioterapii</w:t>
      </w:r>
      <w:r w:rsidR="00641618">
        <w:rPr>
          <w:rFonts w:ascii="Arial" w:hAnsi="Arial" w:cs="Arial"/>
        </w:rPr>
        <w:t xml:space="preserve"> i polegają</w:t>
      </w:r>
      <w:r w:rsidR="00CE478D">
        <w:rPr>
          <w:rFonts w:ascii="Arial" w:hAnsi="Arial" w:cs="Arial"/>
        </w:rPr>
        <w:t xml:space="preserve"> </w:t>
      </w:r>
      <w:r w:rsidR="00641618">
        <w:rPr>
          <w:rFonts w:ascii="Arial" w:hAnsi="Arial" w:cs="Arial"/>
        </w:rPr>
        <w:t xml:space="preserve">na </w:t>
      </w:r>
      <w:r w:rsidR="00CE478D">
        <w:rPr>
          <w:rFonts w:ascii="Arial" w:hAnsi="Arial" w:cs="Arial"/>
        </w:rPr>
        <w:t>wykreśleni</w:t>
      </w:r>
      <w:r w:rsidR="00641618">
        <w:rPr>
          <w:rFonts w:ascii="Arial" w:hAnsi="Arial" w:cs="Arial"/>
        </w:rPr>
        <w:t>u</w:t>
      </w:r>
      <w:r w:rsidR="00CE478D">
        <w:rPr>
          <w:rFonts w:ascii="Arial" w:hAnsi="Arial" w:cs="Arial"/>
        </w:rPr>
        <w:t xml:space="preserve"> kodów</w:t>
      </w:r>
      <w:r w:rsidRPr="00F60368">
        <w:rPr>
          <w:rFonts w:ascii="Arial" w:hAnsi="Arial" w:cs="Arial"/>
        </w:rPr>
        <w:t xml:space="preserve"> EAN</w:t>
      </w:r>
      <w:r w:rsidR="00CE478D">
        <w:rPr>
          <w:rFonts w:ascii="Arial" w:hAnsi="Arial" w:cs="Arial"/>
        </w:rPr>
        <w:t>:</w:t>
      </w:r>
    </w:p>
    <w:p w:rsidR="00F60368" w:rsidRDefault="00CE478D" w:rsidP="007B4E78">
      <w:pPr>
        <w:pStyle w:val="Akapitzlist"/>
        <w:numPr>
          <w:ilvl w:val="2"/>
          <w:numId w:val="44"/>
        </w:numPr>
        <w:spacing w:before="120" w:after="120" w:line="360" w:lineRule="auto"/>
        <w:ind w:left="1134" w:hanging="283"/>
        <w:jc w:val="both"/>
        <w:rPr>
          <w:rFonts w:ascii="Arial" w:hAnsi="Arial" w:cs="Arial"/>
        </w:rPr>
      </w:pPr>
      <w:r w:rsidRPr="00CE478D">
        <w:rPr>
          <w:rFonts w:ascii="Arial" w:hAnsi="Arial" w:cs="Arial"/>
        </w:rPr>
        <w:t>5909990932580</w:t>
      </w:r>
      <w:r>
        <w:rPr>
          <w:rFonts w:ascii="Arial" w:hAnsi="Arial" w:cs="Arial"/>
        </w:rPr>
        <w:t xml:space="preserve">, </w:t>
      </w:r>
      <w:r w:rsidRPr="00CE478D">
        <w:rPr>
          <w:rFonts w:ascii="Arial" w:hAnsi="Arial" w:cs="Arial"/>
        </w:rPr>
        <w:t>5909990932597</w:t>
      </w:r>
      <w:r>
        <w:rPr>
          <w:rFonts w:ascii="Arial" w:hAnsi="Arial" w:cs="Arial"/>
        </w:rPr>
        <w:t xml:space="preserve"> oraz </w:t>
      </w:r>
      <w:r w:rsidRPr="00CE478D">
        <w:rPr>
          <w:rFonts w:ascii="Arial" w:hAnsi="Arial" w:cs="Arial"/>
        </w:rPr>
        <w:t>5909990932603</w:t>
      </w:r>
      <w:r>
        <w:rPr>
          <w:rFonts w:ascii="Arial" w:hAnsi="Arial" w:cs="Arial"/>
        </w:rPr>
        <w:t xml:space="preserve"> </w:t>
      </w:r>
      <w:r w:rsidR="00F60368" w:rsidRPr="00F60368">
        <w:rPr>
          <w:rFonts w:ascii="Arial" w:hAnsi="Arial" w:cs="Arial"/>
        </w:rPr>
        <w:t xml:space="preserve">dla substancji czynnej </w:t>
      </w:r>
      <w:r w:rsidRPr="00CE478D">
        <w:rPr>
          <w:rFonts w:ascii="Arial" w:hAnsi="Arial" w:cs="Arial"/>
        </w:rPr>
        <w:t>5.08.10.0000030</w:t>
      </w:r>
      <w:r>
        <w:rPr>
          <w:rFonts w:ascii="Arial" w:hAnsi="Arial" w:cs="Arial"/>
        </w:rPr>
        <w:t xml:space="preserve"> </w:t>
      </w:r>
      <w:r w:rsidR="00F60368" w:rsidRPr="00F60368">
        <w:rPr>
          <w:rFonts w:ascii="Arial" w:hAnsi="Arial" w:cs="Arial"/>
        </w:rPr>
        <w:t xml:space="preserve">– </w:t>
      </w:r>
      <w:proofErr w:type="spellStart"/>
      <w:r>
        <w:rPr>
          <w:rFonts w:ascii="Arial" w:hAnsi="Arial" w:cs="Arial"/>
        </w:rPr>
        <w:t>g</w:t>
      </w:r>
      <w:r w:rsidRPr="00CE478D">
        <w:rPr>
          <w:rFonts w:ascii="Arial" w:hAnsi="Arial" w:cs="Arial"/>
        </w:rPr>
        <w:t>emcitabinum</w:t>
      </w:r>
      <w:proofErr w:type="spellEnd"/>
      <w:r w:rsidR="00F60368" w:rsidRPr="00F60368">
        <w:rPr>
          <w:rFonts w:ascii="Arial" w:hAnsi="Arial" w:cs="Arial"/>
        </w:rPr>
        <w:t>,</w:t>
      </w:r>
    </w:p>
    <w:p w:rsidR="00CE478D" w:rsidRDefault="00CE478D" w:rsidP="007B4E78">
      <w:pPr>
        <w:pStyle w:val="Akapitzlist"/>
        <w:numPr>
          <w:ilvl w:val="2"/>
          <w:numId w:val="44"/>
        </w:numPr>
        <w:spacing w:before="120" w:after="120" w:line="360" w:lineRule="auto"/>
        <w:ind w:left="1134" w:hanging="283"/>
        <w:jc w:val="both"/>
        <w:rPr>
          <w:rFonts w:ascii="Arial" w:hAnsi="Arial" w:cs="Arial"/>
        </w:rPr>
      </w:pPr>
      <w:r w:rsidRPr="007B4E78">
        <w:rPr>
          <w:rFonts w:ascii="Arial" w:hAnsi="Arial" w:cs="Arial"/>
        </w:rPr>
        <w:t>5909991141141 oraz 5909991141189 dla substancji czynnej</w:t>
      </w:r>
      <w:r w:rsidRPr="00F60368">
        <w:rPr>
          <w:rFonts w:ascii="Arial" w:hAnsi="Arial" w:cs="Arial"/>
        </w:rPr>
        <w:t xml:space="preserve"> </w:t>
      </w:r>
      <w:r w:rsidRPr="007B4E78">
        <w:rPr>
          <w:rFonts w:ascii="Arial" w:hAnsi="Arial" w:cs="Arial"/>
        </w:rPr>
        <w:t xml:space="preserve">5.08.10.0000075 – </w:t>
      </w:r>
      <w:proofErr w:type="spellStart"/>
      <w:r w:rsidRPr="007B4E78">
        <w:rPr>
          <w:rFonts w:ascii="Arial" w:hAnsi="Arial" w:cs="Arial"/>
        </w:rPr>
        <w:t>bendamustinum</w:t>
      </w:r>
      <w:proofErr w:type="spellEnd"/>
      <w:r w:rsidRPr="007B4E78">
        <w:rPr>
          <w:rFonts w:ascii="Arial" w:hAnsi="Arial" w:cs="Arial"/>
        </w:rPr>
        <w:t xml:space="preserve"> </w:t>
      </w:r>
      <w:proofErr w:type="spellStart"/>
      <w:r w:rsidRPr="007B4E78">
        <w:rPr>
          <w:rFonts w:ascii="Arial" w:hAnsi="Arial" w:cs="Arial"/>
        </w:rPr>
        <w:t>hydrochloridum</w:t>
      </w:r>
      <w:proofErr w:type="spellEnd"/>
      <w:r w:rsidRPr="007B4E78">
        <w:rPr>
          <w:rFonts w:ascii="Arial" w:hAnsi="Arial" w:cs="Arial"/>
        </w:rPr>
        <w:t>,</w:t>
      </w:r>
    </w:p>
    <w:p w:rsidR="007B4E78" w:rsidRPr="007B4E78" w:rsidRDefault="007B4E78" w:rsidP="007B4E78">
      <w:pPr>
        <w:pStyle w:val="Akapitzlist"/>
        <w:numPr>
          <w:ilvl w:val="1"/>
          <w:numId w:val="42"/>
        </w:numPr>
        <w:spacing w:before="120" w:after="120" w:line="360" w:lineRule="auto"/>
        <w:ind w:left="851" w:hanging="284"/>
        <w:jc w:val="both"/>
        <w:rPr>
          <w:rFonts w:ascii="Arial" w:hAnsi="Arial" w:cs="Arial"/>
        </w:rPr>
      </w:pPr>
      <w:r>
        <w:rPr>
          <w:rFonts w:ascii="Arial" w:hAnsi="Arial" w:cs="Arial"/>
        </w:rPr>
        <w:lastRenderedPageBreak/>
        <w:t xml:space="preserve"> w części B</w:t>
      </w:r>
      <w:r w:rsidR="00641618">
        <w:rPr>
          <w:rFonts w:ascii="Arial" w:hAnsi="Arial" w:cs="Arial"/>
        </w:rPr>
        <w:t>,</w:t>
      </w:r>
      <w:r w:rsidR="003660BE">
        <w:rPr>
          <w:rFonts w:ascii="Arial" w:hAnsi="Arial" w:cs="Arial"/>
        </w:rPr>
        <w:t xml:space="preserve"> </w:t>
      </w:r>
      <w:r w:rsidRPr="007B4E78">
        <w:rPr>
          <w:rFonts w:ascii="Arial" w:hAnsi="Arial" w:cs="Arial"/>
        </w:rPr>
        <w:t>Katalog leków refundowanych stosowanych w ramach wspomagającego leczenia chorych na nowotwory</w:t>
      </w:r>
      <w:r w:rsidR="00641618">
        <w:rPr>
          <w:rFonts w:ascii="Arial" w:hAnsi="Arial" w:cs="Arial"/>
        </w:rPr>
        <w:t xml:space="preserve"> i polegają na</w:t>
      </w:r>
      <w:r w:rsidRPr="007B4E78">
        <w:rPr>
          <w:rFonts w:ascii="Arial" w:hAnsi="Arial" w:cs="Arial"/>
        </w:rPr>
        <w:t xml:space="preserve"> wykreśleni</w:t>
      </w:r>
      <w:r w:rsidR="00641618">
        <w:rPr>
          <w:rFonts w:ascii="Arial" w:hAnsi="Arial" w:cs="Arial"/>
        </w:rPr>
        <w:t>u</w:t>
      </w:r>
      <w:r w:rsidRPr="007B4E78">
        <w:rPr>
          <w:rFonts w:ascii="Arial" w:hAnsi="Arial" w:cs="Arial"/>
        </w:rPr>
        <w:t xml:space="preserve"> kodów EAN</w:t>
      </w:r>
      <w:r>
        <w:rPr>
          <w:rFonts w:ascii="Arial" w:hAnsi="Arial" w:cs="Arial"/>
        </w:rPr>
        <w:t xml:space="preserve">: </w:t>
      </w:r>
      <w:r w:rsidRPr="007B4E78">
        <w:rPr>
          <w:rFonts w:ascii="Arial" w:hAnsi="Arial" w:cs="Arial"/>
        </w:rPr>
        <w:t>5909990356522</w:t>
      </w:r>
      <w:r>
        <w:rPr>
          <w:rFonts w:ascii="Arial" w:hAnsi="Arial" w:cs="Arial"/>
        </w:rPr>
        <w:t xml:space="preserve"> oraz </w:t>
      </w:r>
      <w:r w:rsidRPr="007B4E78">
        <w:rPr>
          <w:rFonts w:ascii="Arial" w:hAnsi="Arial" w:cs="Arial"/>
        </w:rPr>
        <w:t>5909990356546</w:t>
      </w:r>
      <w:r>
        <w:rPr>
          <w:rFonts w:ascii="Arial" w:hAnsi="Arial" w:cs="Arial"/>
        </w:rPr>
        <w:t xml:space="preserve"> dla substancji czynnej </w:t>
      </w:r>
      <w:r w:rsidRPr="007B4E78">
        <w:rPr>
          <w:rFonts w:ascii="Arial" w:hAnsi="Arial" w:cs="Arial"/>
        </w:rPr>
        <w:t>5.08.10.0000005</w:t>
      </w:r>
      <w:r>
        <w:rPr>
          <w:rFonts w:ascii="Arial" w:hAnsi="Arial" w:cs="Arial"/>
        </w:rPr>
        <w:t xml:space="preserve"> - </w:t>
      </w:r>
      <w:proofErr w:type="spellStart"/>
      <w:r>
        <w:rPr>
          <w:rFonts w:ascii="Arial" w:hAnsi="Arial" w:cs="Arial"/>
        </w:rPr>
        <w:t>c</w:t>
      </w:r>
      <w:r w:rsidRPr="007B4E78">
        <w:rPr>
          <w:rFonts w:ascii="Arial" w:hAnsi="Arial" w:cs="Arial"/>
        </w:rPr>
        <w:t>alcii</w:t>
      </w:r>
      <w:proofErr w:type="spellEnd"/>
      <w:r w:rsidRPr="007B4E78">
        <w:rPr>
          <w:rFonts w:ascii="Arial" w:hAnsi="Arial" w:cs="Arial"/>
        </w:rPr>
        <w:t xml:space="preserve"> </w:t>
      </w:r>
      <w:proofErr w:type="spellStart"/>
      <w:r w:rsidRPr="007B4E78">
        <w:rPr>
          <w:rFonts w:ascii="Arial" w:hAnsi="Arial" w:cs="Arial"/>
        </w:rPr>
        <w:t>folinas</w:t>
      </w:r>
      <w:proofErr w:type="spellEnd"/>
      <w:r>
        <w:rPr>
          <w:rFonts w:ascii="Arial" w:hAnsi="Arial" w:cs="Arial"/>
        </w:rPr>
        <w:t>;</w:t>
      </w:r>
    </w:p>
    <w:p w:rsidR="003660BE" w:rsidRDefault="00DF2F2F" w:rsidP="002B4B2D">
      <w:pPr>
        <w:pStyle w:val="Akapitzlist"/>
        <w:numPr>
          <w:ilvl w:val="0"/>
          <w:numId w:val="42"/>
        </w:numPr>
        <w:spacing w:before="120" w:after="120" w:line="360" w:lineRule="auto"/>
        <w:ind w:left="567" w:hanging="567"/>
        <w:jc w:val="both"/>
        <w:rPr>
          <w:rFonts w:ascii="Arial" w:hAnsi="Arial" w:cs="Arial"/>
        </w:rPr>
      </w:pPr>
      <w:r w:rsidRPr="003660BE">
        <w:rPr>
          <w:rFonts w:ascii="Arial" w:hAnsi="Arial" w:cs="Arial"/>
        </w:rPr>
        <w:t xml:space="preserve">modyfikacji </w:t>
      </w:r>
      <w:r w:rsidR="00F60368" w:rsidRPr="003660BE">
        <w:rPr>
          <w:rFonts w:ascii="Arial" w:hAnsi="Arial" w:cs="Arial"/>
        </w:rPr>
        <w:t>załącznik</w:t>
      </w:r>
      <w:r w:rsidR="0088169C" w:rsidRPr="003660BE">
        <w:rPr>
          <w:rFonts w:ascii="Arial" w:hAnsi="Arial" w:cs="Arial"/>
        </w:rPr>
        <w:t>a</w:t>
      </w:r>
      <w:r w:rsidR="00F60368" w:rsidRPr="003660BE">
        <w:rPr>
          <w:rFonts w:ascii="Arial" w:hAnsi="Arial" w:cs="Arial"/>
        </w:rPr>
        <w:t xml:space="preserve"> 1t do zarządzenia</w:t>
      </w:r>
      <w:r w:rsidR="003660BE" w:rsidRPr="003660BE">
        <w:rPr>
          <w:rFonts w:ascii="Arial" w:hAnsi="Arial" w:cs="Arial"/>
        </w:rPr>
        <w:t xml:space="preserve">, określającego </w:t>
      </w:r>
      <w:r w:rsidR="00F60368" w:rsidRPr="003660BE">
        <w:rPr>
          <w:rFonts w:ascii="Arial" w:hAnsi="Arial" w:cs="Arial"/>
        </w:rPr>
        <w:t xml:space="preserve"> Katalog świadczeń dodatkowych - leczenie szpitalne – chemioterapia, w części B substancje czynne wchodzące w skład leków czasowo niedostępnych w obrocie na terytorium RP </w:t>
      </w:r>
      <w:r w:rsidR="003660BE" w:rsidRPr="003660BE">
        <w:rPr>
          <w:rFonts w:ascii="Arial" w:hAnsi="Arial" w:cs="Arial"/>
        </w:rPr>
        <w:t>i polegają na</w:t>
      </w:r>
      <w:r w:rsidR="00F60368" w:rsidRPr="003660BE">
        <w:rPr>
          <w:rFonts w:ascii="Arial" w:hAnsi="Arial" w:cs="Arial"/>
        </w:rPr>
        <w:t xml:space="preserve"> usunięci</w:t>
      </w:r>
      <w:r w:rsidR="003660BE" w:rsidRPr="003660BE">
        <w:rPr>
          <w:rFonts w:ascii="Arial" w:hAnsi="Arial" w:cs="Arial"/>
        </w:rPr>
        <w:t>u</w:t>
      </w:r>
      <w:r w:rsidR="00F60368" w:rsidRPr="003660BE">
        <w:rPr>
          <w:rFonts w:ascii="Arial" w:hAnsi="Arial" w:cs="Arial"/>
        </w:rPr>
        <w:t xml:space="preserve"> </w:t>
      </w:r>
      <w:r w:rsidR="003D7BBB" w:rsidRPr="003660BE">
        <w:rPr>
          <w:rFonts w:ascii="Arial" w:hAnsi="Arial" w:cs="Arial"/>
        </w:rPr>
        <w:t>procedur:</w:t>
      </w:r>
      <w:r w:rsidR="00F60368" w:rsidRPr="003660BE">
        <w:rPr>
          <w:rFonts w:ascii="Arial" w:hAnsi="Arial" w:cs="Arial"/>
        </w:rPr>
        <w:t xml:space="preserve"> </w:t>
      </w:r>
    </w:p>
    <w:p w:rsidR="003660BE" w:rsidRDefault="00F60368" w:rsidP="002B4B2D">
      <w:pPr>
        <w:pStyle w:val="Akapitzlist"/>
        <w:numPr>
          <w:ilvl w:val="1"/>
          <w:numId w:val="42"/>
        </w:numPr>
        <w:spacing w:before="120" w:after="120" w:line="360" w:lineRule="auto"/>
        <w:ind w:left="851" w:hanging="284"/>
        <w:jc w:val="both"/>
        <w:rPr>
          <w:rFonts w:ascii="Arial" w:hAnsi="Arial" w:cs="Arial"/>
        </w:rPr>
      </w:pPr>
      <w:r w:rsidRPr="003660BE">
        <w:rPr>
          <w:rFonts w:ascii="Arial" w:hAnsi="Arial" w:cs="Arial"/>
        </w:rPr>
        <w:t>5.08.05.000018</w:t>
      </w:r>
      <w:r w:rsidR="003D7BBB" w:rsidRPr="003660BE">
        <w:rPr>
          <w:rFonts w:ascii="Arial" w:hAnsi="Arial" w:cs="Arial"/>
        </w:rPr>
        <w:t>3</w:t>
      </w:r>
      <w:r w:rsidRPr="003660BE">
        <w:rPr>
          <w:rFonts w:ascii="Arial" w:hAnsi="Arial" w:cs="Arial"/>
        </w:rPr>
        <w:t xml:space="preserve"> - Procedura podania leku zawierającego substancję czynną (</w:t>
      </w:r>
      <w:proofErr w:type="spellStart"/>
      <w:r w:rsidR="003D7BBB" w:rsidRPr="003660BE">
        <w:rPr>
          <w:rFonts w:ascii="Arial" w:hAnsi="Arial" w:cs="Arial"/>
        </w:rPr>
        <w:t>tretinoinum</w:t>
      </w:r>
      <w:proofErr w:type="spellEnd"/>
      <w:r w:rsidR="003D7BBB" w:rsidRPr="003660BE">
        <w:rPr>
          <w:rFonts w:ascii="Arial" w:hAnsi="Arial" w:cs="Arial"/>
        </w:rPr>
        <w:t xml:space="preserve">) </w:t>
      </w:r>
      <w:proofErr w:type="spellStart"/>
      <w:r w:rsidR="003D7BBB" w:rsidRPr="003660BE">
        <w:rPr>
          <w:rFonts w:ascii="Arial" w:hAnsi="Arial" w:cs="Arial"/>
        </w:rPr>
        <w:t>inj</w:t>
      </w:r>
      <w:proofErr w:type="spellEnd"/>
      <w:r w:rsidR="003D7BBB" w:rsidRPr="003660BE">
        <w:rPr>
          <w:rFonts w:ascii="Arial" w:hAnsi="Arial" w:cs="Arial"/>
        </w:rPr>
        <w:t>. - 100 mg</w:t>
      </w:r>
      <w:r w:rsidR="003660BE">
        <w:rPr>
          <w:rFonts w:ascii="Arial" w:hAnsi="Arial" w:cs="Arial"/>
        </w:rPr>
        <w:t>,</w:t>
      </w:r>
    </w:p>
    <w:p w:rsidR="003660BE" w:rsidRDefault="003D7BBB" w:rsidP="002B4B2D">
      <w:pPr>
        <w:pStyle w:val="Akapitzlist"/>
        <w:numPr>
          <w:ilvl w:val="1"/>
          <w:numId w:val="42"/>
        </w:numPr>
        <w:spacing w:before="120" w:after="120" w:line="360" w:lineRule="auto"/>
        <w:ind w:left="851" w:hanging="284"/>
        <w:jc w:val="both"/>
        <w:rPr>
          <w:rFonts w:ascii="Arial" w:hAnsi="Arial" w:cs="Arial"/>
        </w:rPr>
      </w:pPr>
      <w:r w:rsidRPr="003660BE">
        <w:rPr>
          <w:rFonts w:ascii="Arial" w:hAnsi="Arial" w:cs="Arial"/>
        </w:rPr>
        <w:t>5.08.05.0000186 - Procedura podania leku zawierającego substancję czynną (</w:t>
      </w:r>
      <w:proofErr w:type="spellStart"/>
      <w:r w:rsidRPr="003660BE">
        <w:rPr>
          <w:rFonts w:ascii="Arial" w:hAnsi="Arial" w:cs="Arial"/>
        </w:rPr>
        <w:t>posaconazole</w:t>
      </w:r>
      <w:proofErr w:type="spellEnd"/>
      <w:r w:rsidRPr="003660BE">
        <w:rPr>
          <w:rFonts w:ascii="Arial" w:hAnsi="Arial" w:cs="Arial"/>
        </w:rPr>
        <w:t>) p.o. - 100 mg</w:t>
      </w:r>
      <w:r w:rsidR="00F36E7D" w:rsidRPr="003660BE">
        <w:rPr>
          <w:rFonts w:ascii="Arial" w:hAnsi="Arial" w:cs="Arial"/>
        </w:rPr>
        <w:t>.</w:t>
      </w:r>
      <w:r w:rsidR="003660BE" w:rsidRPr="003660BE">
        <w:rPr>
          <w:rFonts w:ascii="Arial" w:hAnsi="Arial" w:cs="Arial"/>
        </w:rPr>
        <w:t xml:space="preserve"> </w:t>
      </w:r>
    </w:p>
    <w:p w:rsidR="00F60368" w:rsidRPr="002B4B2D" w:rsidRDefault="003660BE" w:rsidP="002B4B2D">
      <w:pPr>
        <w:spacing w:before="120" w:after="120" w:line="360" w:lineRule="auto"/>
        <w:ind w:firstLine="567"/>
        <w:jc w:val="both"/>
        <w:rPr>
          <w:rFonts w:ascii="Arial" w:hAnsi="Arial" w:cs="Arial"/>
        </w:rPr>
      </w:pPr>
      <w:r>
        <w:rPr>
          <w:rFonts w:ascii="Arial" w:hAnsi="Arial" w:cs="Arial"/>
        </w:rPr>
        <w:t xml:space="preserve">- </w:t>
      </w:r>
      <w:r w:rsidRPr="002B4B2D">
        <w:rPr>
          <w:rFonts w:ascii="Arial" w:hAnsi="Arial" w:cs="Arial"/>
        </w:rPr>
        <w:t xml:space="preserve"> </w:t>
      </w:r>
      <w:r w:rsidR="00F07942">
        <w:rPr>
          <w:rFonts w:ascii="Arial" w:hAnsi="Arial" w:cs="Arial"/>
        </w:rPr>
        <w:t xml:space="preserve">w </w:t>
      </w:r>
      <w:r w:rsidRPr="002B4B2D">
        <w:rPr>
          <w:rFonts w:ascii="Arial" w:hAnsi="Arial" w:cs="Arial"/>
        </w:rPr>
        <w:t xml:space="preserve">związku z ponowną dostępnością na rynku leków zawierających substancje </w:t>
      </w:r>
      <w:proofErr w:type="spellStart"/>
      <w:r w:rsidR="00DE45C1">
        <w:rPr>
          <w:rFonts w:ascii="Arial" w:hAnsi="Arial" w:cs="Arial"/>
        </w:rPr>
        <w:t>tretynoina</w:t>
      </w:r>
      <w:proofErr w:type="spellEnd"/>
      <w:r w:rsidR="00DE45C1" w:rsidRPr="002B4B2D">
        <w:rPr>
          <w:rFonts w:ascii="Arial" w:hAnsi="Arial" w:cs="Arial"/>
        </w:rPr>
        <w:t xml:space="preserve"> </w:t>
      </w:r>
      <w:r w:rsidRPr="002B4B2D">
        <w:rPr>
          <w:rFonts w:ascii="Arial" w:hAnsi="Arial" w:cs="Arial"/>
        </w:rPr>
        <w:t xml:space="preserve">oraz </w:t>
      </w:r>
      <w:proofErr w:type="spellStart"/>
      <w:r w:rsidRPr="002B4B2D">
        <w:rPr>
          <w:rFonts w:ascii="Arial" w:hAnsi="Arial" w:cs="Arial"/>
        </w:rPr>
        <w:t>pozakonazol</w:t>
      </w:r>
      <w:proofErr w:type="spellEnd"/>
      <w:r w:rsidRPr="002B4B2D">
        <w:rPr>
          <w:rFonts w:ascii="Arial" w:hAnsi="Arial" w:cs="Arial"/>
        </w:rPr>
        <w:t>, umieszczonych w obwieszczeniu Ministra Zdrowia w</w:t>
      </w:r>
      <w:r>
        <w:rPr>
          <w:rFonts w:ascii="Arial" w:hAnsi="Arial" w:cs="Arial"/>
        </w:rPr>
        <w:t> </w:t>
      </w:r>
      <w:r w:rsidRPr="002B4B2D">
        <w:rPr>
          <w:rFonts w:ascii="Arial" w:hAnsi="Arial" w:cs="Arial"/>
        </w:rPr>
        <w:t>sprawie wykazu refundowanych leków, środków spożywczych specjalnego przeznaczenia żywieniowego oraz wyrobów medycznych, brak jest uzasadnienia do dalszego utrzymywania możliwości finansowania świadczenia polegającego na podaniu leków niezarejestrowanych w Polsce zawierających wskazane wyżej substancje czynne. Świadczeniodawcy zostali poinformowani o tym fakcie z</w:t>
      </w:r>
      <w:r>
        <w:rPr>
          <w:rFonts w:ascii="Arial" w:hAnsi="Arial" w:cs="Arial"/>
        </w:rPr>
        <w:t> </w:t>
      </w:r>
      <w:r w:rsidRPr="002B4B2D">
        <w:rPr>
          <w:rFonts w:ascii="Arial" w:hAnsi="Arial" w:cs="Arial"/>
        </w:rPr>
        <w:t>odpowiednim wyprzedzeniem co pozwoliło na pełne wykorzystanie zakupionych wcześniej leków pochodzących z importu docelowego.</w:t>
      </w:r>
    </w:p>
    <w:p w:rsidR="00535E22" w:rsidRDefault="00535E22" w:rsidP="00F60368">
      <w:pPr>
        <w:spacing w:before="240" w:after="240" w:line="360" w:lineRule="auto"/>
        <w:ind w:firstLine="567"/>
        <w:jc w:val="both"/>
        <w:rPr>
          <w:rFonts w:ascii="Arial" w:hAnsi="Arial" w:cs="Arial"/>
        </w:rPr>
      </w:pPr>
      <w:r w:rsidRPr="00FA112A">
        <w:rPr>
          <w:rFonts w:ascii="Arial" w:hAnsi="Arial" w:cs="Arial"/>
        </w:rPr>
        <w:t>Oznaczenie momentu wejścia w życi</w:t>
      </w:r>
      <w:r w:rsidR="00524791">
        <w:rPr>
          <w:rFonts w:ascii="Arial" w:hAnsi="Arial" w:cs="Arial"/>
        </w:rPr>
        <w:t xml:space="preserve">e przedmiotowego aktu prawnego </w:t>
      </w:r>
      <w:r w:rsidRPr="00FA112A">
        <w:rPr>
          <w:rFonts w:ascii="Arial" w:hAnsi="Arial" w:cs="Arial"/>
        </w:rPr>
        <w:t xml:space="preserve">w sposób wskazany w </w:t>
      </w:r>
      <w:r w:rsidRPr="00FA112A">
        <w:rPr>
          <w:rFonts w:ascii="Arial" w:hAnsi="Arial" w:cs="Arial"/>
          <w:bCs/>
        </w:rPr>
        <w:t xml:space="preserve">§ </w:t>
      </w:r>
      <w:r>
        <w:rPr>
          <w:rFonts w:ascii="Arial" w:hAnsi="Arial" w:cs="Arial"/>
          <w:bCs/>
        </w:rPr>
        <w:t>4</w:t>
      </w:r>
      <w:r w:rsidRPr="00FA112A">
        <w:rPr>
          <w:rFonts w:ascii="Arial" w:hAnsi="Arial" w:cs="Arial"/>
        </w:rPr>
        <w:t xml:space="preserve"> zarządzenia</w:t>
      </w:r>
      <w:r w:rsidRPr="00FA112A">
        <w:rPr>
          <w:rFonts w:ascii="Arial" w:hAnsi="Arial" w:cs="Arial"/>
          <w:b/>
          <w:bCs/>
        </w:rPr>
        <w:t xml:space="preserve"> </w:t>
      </w:r>
      <w:r w:rsidRPr="00FA112A">
        <w:rPr>
          <w:rFonts w:ascii="Arial" w:hAnsi="Arial" w:cs="Arial"/>
        </w:rPr>
        <w:t xml:space="preserve">wynika z konieczności zapewnienia ciągłości stosowania przepisów w przedmiotowym zakresie, zgodnie z ww. </w:t>
      </w:r>
      <w:r w:rsidR="00F60368">
        <w:rPr>
          <w:rFonts w:ascii="Arial" w:hAnsi="Arial" w:cs="Arial"/>
        </w:rPr>
        <w:t xml:space="preserve">obwieszczeniem Ministra Zdrowia oraz z </w:t>
      </w:r>
      <w:r w:rsidR="00AF4476">
        <w:rPr>
          <w:rFonts w:ascii="Arial" w:hAnsi="Arial" w:cs="Arial"/>
        </w:rPr>
        <w:t>terminów obowiązywania decyzji administracyjnych Ministra Zdrowia w sprawie objęcie refundacją i określenia ceny urzędowej leków zawartych w niniejszym zarządzeniu.</w:t>
      </w:r>
    </w:p>
    <w:p w:rsidR="00F845BD" w:rsidRDefault="00DB6D22" w:rsidP="001C3B9A">
      <w:pPr>
        <w:spacing w:before="240" w:after="240" w:line="360" w:lineRule="auto"/>
        <w:ind w:firstLine="567"/>
        <w:jc w:val="both"/>
        <w:rPr>
          <w:rFonts w:ascii="Arial" w:hAnsi="Arial" w:cs="Arial"/>
          <w:b/>
          <w:bCs/>
        </w:rPr>
      </w:pPr>
      <w:r>
        <w:rPr>
          <w:rFonts w:ascii="Arial" w:hAnsi="Arial" w:cs="Arial"/>
        </w:rPr>
        <w:t>Proponuje się wejście w życie projektowanych regulacji z dniem następującym po dniu podpisania zarządzenia, z mocą od</w:t>
      </w:r>
      <w:r w:rsidR="00F845BD" w:rsidRPr="00F845BD">
        <w:rPr>
          <w:rFonts w:ascii="Arial" w:hAnsi="Arial" w:cs="Arial"/>
        </w:rPr>
        <w:t xml:space="preserve"> </w:t>
      </w:r>
      <w:r w:rsidR="00F845BD" w:rsidRPr="00D909C7">
        <w:rPr>
          <w:rFonts w:ascii="Arial" w:hAnsi="Arial" w:cs="Arial"/>
        </w:rPr>
        <w:t>dnia 1</w:t>
      </w:r>
      <w:r w:rsidR="001527AA">
        <w:rPr>
          <w:rFonts w:ascii="Arial" w:hAnsi="Arial" w:cs="Arial"/>
        </w:rPr>
        <w:t xml:space="preserve"> </w:t>
      </w:r>
      <w:r w:rsidR="003D7BBB">
        <w:rPr>
          <w:rFonts w:ascii="Arial" w:hAnsi="Arial" w:cs="Arial"/>
        </w:rPr>
        <w:t>marca</w:t>
      </w:r>
      <w:r w:rsidR="00F845BD" w:rsidRPr="00D909C7">
        <w:rPr>
          <w:rFonts w:ascii="Arial" w:hAnsi="Arial" w:cs="Arial"/>
        </w:rPr>
        <w:t xml:space="preserve"> 201</w:t>
      </w:r>
      <w:r w:rsidR="001527AA">
        <w:rPr>
          <w:rFonts w:ascii="Arial" w:hAnsi="Arial" w:cs="Arial"/>
        </w:rPr>
        <w:t>8</w:t>
      </w:r>
      <w:r w:rsidR="00F845BD" w:rsidRPr="00D909C7">
        <w:rPr>
          <w:rFonts w:ascii="Arial" w:hAnsi="Arial" w:cs="Arial"/>
        </w:rPr>
        <w:t xml:space="preserve"> r</w:t>
      </w:r>
      <w:r w:rsidR="000A1913">
        <w:rPr>
          <w:rFonts w:ascii="Arial" w:hAnsi="Arial" w:cs="Arial"/>
        </w:rPr>
        <w:t xml:space="preserve">, </w:t>
      </w:r>
      <w:r w:rsidR="000A1913" w:rsidRPr="000A1913">
        <w:rPr>
          <w:rFonts w:ascii="Arial" w:hAnsi="Arial" w:cs="Arial"/>
        </w:rPr>
        <w:t xml:space="preserve">z wyjątkiem § 1 pkt </w:t>
      </w:r>
      <w:r w:rsidR="00073DB4">
        <w:rPr>
          <w:rFonts w:ascii="Arial" w:hAnsi="Arial" w:cs="Arial"/>
        </w:rPr>
        <w:t>3</w:t>
      </w:r>
      <w:r w:rsidR="000A1913" w:rsidRPr="000A1913">
        <w:rPr>
          <w:rFonts w:ascii="Arial" w:hAnsi="Arial" w:cs="Arial"/>
        </w:rPr>
        <w:t xml:space="preserve">, który </w:t>
      </w:r>
      <w:r w:rsidR="00073DB4">
        <w:rPr>
          <w:rFonts w:ascii="Arial" w:hAnsi="Arial" w:cs="Arial"/>
        </w:rPr>
        <w:t>wejdzie</w:t>
      </w:r>
      <w:r w:rsidR="00073DB4" w:rsidRPr="000A1913">
        <w:rPr>
          <w:rFonts w:ascii="Arial" w:hAnsi="Arial" w:cs="Arial"/>
        </w:rPr>
        <w:t xml:space="preserve"> </w:t>
      </w:r>
      <w:r w:rsidR="000A1913" w:rsidRPr="000A1913">
        <w:rPr>
          <w:rFonts w:ascii="Arial" w:hAnsi="Arial" w:cs="Arial"/>
        </w:rPr>
        <w:t xml:space="preserve">w życie z dniem 1 </w:t>
      </w:r>
      <w:r w:rsidR="000B7D2A">
        <w:rPr>
          <w:rFonts w:ascii="Arial" w:hAnsi="Arial" w:cs="Arial"/>
        </w:rPr>
        <w:t>lipca</w:t>
      </w:r>
      <w:r w:rsidR="000A1913" w:rsidRPr="000A1913">
        <w:rPr>
          <w:rFonts w:ascii="Arial" w:hAnsi="Arial" w:cs="Arial"/>
        </w:rPr>
        <w:t xml:space="preserve"> 2018 r.</w:t>
      </w:r>
    </w:p>
    <w:p w:rsidR="00E56AA9" w:rsidRDefault="00E56AA9">
      <w:pPr>
        <w:rPr>
          <w:rFonts w:ascii="Arial" w:hAnsi="Arial" w:cs="Arial"/>
          <w:bCs/>
        </w:rPr>
      </w:pPr>
      <w:r>
        <w:rPr>
          <w:rFonts w:ascii="Arial" w:hAnsi="Arial" w:cs="Arial"/>
          <w:bCs/>
        </w:rPr>
        <w:br w:type="page"/>
      </w:r>
    </w:p>
    <w:p w:rsidR="00073DB4" w:rsidRPr="00073DB4" w:rsidRDefault="00073DB4" w:rsidP="00073DB4">
      <w:pPr>
        <w:spacing w:before="240" w:after="240" w:line="360" w:lineRule="auto"/>
        <w:ind w:firstLine="567"/>
        <w:jc w:val="both"/>
        <w:rPr>
          <w:rFonts w:ascii="Arial" w:hAnsi="Arial" w:cs="Arial"/>
          <w:bCs/>
        </w:rPr>
      </w:pPr>
      <w:r w:rsidRPr="00073DB4">
        <w:rPr>
          <w:rFonts w:ascii="Arial" w:hAnsi="Arial" w:cs="Arial"/>
          <w:bCs/>
        </w:rPr>
        <w:lastRenderedPageBreak/>
        <w:t>Zgodnie z art. 146 ust. 4 ustawy o świadczeniach, Prezes Narodowego Funduszu Zdrowia przed określeniem przedmiotu postępowania w sprawie zawarcia umowy o udzielanie świadczeń opieki zdrowotnej zasięgnął opinii właściwych konsultantów krajowych, a także zgodnie z przepisami wydanymi na podstawie art. 137 ustawy o świadczeniach, zasięgnął opinii Naczelnej Rady Lekarskiej, Naczelnej Rady Pielęgniarek i Położnych oraz reprezentatywnych organizacji świadczeniodawców.</w:t>
      </w:r>
    </w:p>
    <w:p w:rsidR="00FA559A" w:rsidRPr="00FA559A" w:rsidRDefault="00073DB4" w:rsidP="00073DB4">
      <w:pPr>
        <w:spacing w:line="360" w:lineRule="auto"/>
        <w:ind w:firstLine="567"/>
        <w:jc w:val="both"/>
        <w:rPr>
          <w:rFonts w:ascii="Arial" w:hAnsi="Arial" w:cs="Arial"/>
          <w:b/>
          <w:bCs/>
        </w:rPr>
      </w:pPr>
      <w:r w:rsidRPr="00073DB4">
        <w:rPr>
          <w:rFonts w:ascii="Arial" w:hAnsi="Arial" w:cs="Arial"/>
          <w:bCs/>
        </w:rPr>
        <w:t>Omówienie wyników konsultacji projektu zarządzenia znajduje się w OSR.</w:t>
      </w:r>
    </w:p>
    <w:sectPr w:rsidR="00FA559A" w:rsidRPr="00FA559A" w:rsidSect="00E56AA9">
      <w:pgSz w:w="11906" w:h="16838"/>
      <w:pgMar w:top="1418"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3124"/>
    <w:multiLevelType w:val="hybridMultilevel"/>
    <w:tmpl w:val="DE4E0AA2"/>
    <w:lvl w:ilvl="0" w:tplc="2560240C">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31A4AC70">
      <w:numFmt w:val="bullet"/>
      <w:lvlText w:val="-"/>
      <w:lvlJc w:val="left"/>
      <w:pPr>
        <w:ind w:left="2508" w:hanging="180"/>
      </w:pPr>
      <w:rPr>
        <w:rFonts w:ascii="Times New Roman" w:eastAsia="Times New Roman" w:hAnsi="Times New Roman" w:cs="Times New Roman" w:hint="default"/>
        <w:i w:val="0"/>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nsid w:val="07BA1413"/>
    <w:multiLevelType w:val="hybridMultilevel"/>
    <w:tmpl w:val="94947C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148B4AC3"/>
    <w:multiLevelType w:val="hybridMultilevel"/>
    <w:tmpl w:val="CFA6D3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D0038CE"/>
    <w:multiLevelType w:val="hybridMultilevel"/>
    <w:tmpl w:val="9F2275C6"/>
    <w:lvl w:ilvl="0" w:tplc="AB0ECD1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130173"/>
    <w:multiLevelType w:val="hybridMultilevel"/>
    <w:tmpl w:val="893664C0"/>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
    <w:nsid w:val="20B46360"/>
    <w:multiLevelType w:val="hybridMultilevel"/>
    <w:tmpl w:val="3F0AB49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21197404"/>
    <w:multiLevelType w:val="hybridMultilevel"/>
    <w:tmpl w:val="0C706C6A"/>
    <w:lvl w:ilvl="0" w:tplc="FDF40430">
      <w:start w:val="1"/>
      <w:numFmt w:val="decimal"/>
      <w:lvlText w:val="%1."/>
      <w:lvlJc w:val="left"/>
      <w:pPr>
        <w:ind w:left="1683" w:hanging="97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22F54759"/>
    <w:multiLevelType w:val="hybridMultilevel"/>
    <w:tmpl w:val="B02C067E"/>
    <w:lvl w:ilvl="0" w:tplc="A3081A34">
      <w:start w:val="2"/>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nsid w:val="268035DF"/>
    <w:multiLevelType w:val="hybridMultilevel"/>
    <w:tmpl w:val="07FCA9CC"/>
    <w:lvl w:ilvl="0" w:tplc="F77A9D40">
      <w:start w:val="1"/>
      <w:numFmt w:val="decimal"/>
      <w:lvlText w:val="%1)"/>
      <w:lvlJc w:val="left"/>
      <w:pPr>
        <w:ind w:left="714" w:hanging="396"/>
      </w:pPr>
      <w:rPr>
        <w:rFonts w:hint="default"/>
      </w:rPr>
    </w:lvl>
    <w:lvl w:ilvl="1" w:tplc="04150017">
      <w:start w:val="1"/>
      <w:numFmt w:val="lowerLetter"/>
      <w:lvlText w:val="%2)"/>
      <w:lvlJc w:val="left"/>
      <w:pPr>
        <w:ind w:left="1398" w:hanging="360"/>
      </w:pPr>
    </w:lvl>
    <w:lvl w:ilvl="2" w:tplc="0415001B">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9">
    <w:nsid w:val="286E3837"/>
    <w:multiLevelType w:val="hybridMultilevel"/>
    <w:tmpl w:val="CAFCC5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F92696"/>
    <w:multiLevelType w:val="hybridMultilevel"/>
    <w:tmpl w:val="0D805C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D80447"/>
    <w:multiLevelType w:val="hybridMultilevel"/>
    <w:tmpl w:val="320EC9AE"/>
    <w:lvl w:ilvl="0" w:tplc="2560240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31A4AC70">
      <w:numFmt w:val="bullet"/>
      <w:lvlText w:val="-"/>
      <w:lvlJc w:val="left"/>
      <w:pPr>
        <w:ind w:left="2508" w:hanging="180"/>
      </w:pPr>
      <w:rPr>
        <w:rFonts w:ascii="Times New Roman" w:eastAsia="Times New Roman" w:hAnsi="Times New Roman" w:cs="Times New Roman" w:hint="default"/>
        <w:i w:val="0"/>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nsid w:val="2D5149BB"/>
    <w:multiLevelType w:val="hybridMultilevel"/>
    <w:tmpl w:val="98E0642C"/>
    <w:lvl w:ilvl="0" w:tplc="DC66B3D6">
      <w:start w:val="1"/>
      <w:numFmt w:val="decimal"/>
      <w:lvlText w:val="%1)"/>
      <w:lvlJc w:val="left"/>
      <w:pPr>
        <w:ind w:left="984" w:hanging="360"/>
      </w:pPr>
      <w:rPr>
        <w:rFonts w:cs="Times New Roman" w:hint="default"/>
      </w:rPr>
    </w:lvl>
    <w:lvl w:ilvl="1" w:tplc="04150019" w:tentative="1">
      <w:start w:val="1"/>
      <w:numFmt w:val="lowerLetter"/>
      <w:lvlText w:val="%2."/>
      <w:lvlJc w:val="left"/>
      <w:pPr>
        <w:ind w:left="1704" w:hanging="360"/>
      </w:pPr>
      <w:rPr>
        <w:rFonts w:cs="Times New Roman"/>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13">
    <w:nsid w:val="2DF3078F"/>
    <w:multiLevelType w:val="hybridMultilevel"/>
    <w:tmpl w:val="482C4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02250EF"/>
    <w:multiLevelType w:val="hybridMultilevel"/>
    <w:tmpl w:val="569AA760"/>
    <w:lvl w:ilvl="0" w:tplc="F0A0C7E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5">
    <w:nsid w:val="33F86D3C"/>
    <w:multiLevelType w:val="hybridMultilevel"/>
    <w:tmpl w:val="D668CACE"/>
    <w:lvl w:ilvl="0" w:tplc="65AC0B2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711C7A"/>
    <w:multiLevelType w:val="hybridMultilevel"/>
    <w:tmpl w:val="37AC525A"/>
    <w:lvl w:ilvl="0" w:tplc="93466FD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nsid w:val="38AD1377"/>
    <w:multiLevelType w:val="hybridMultilevel"/>
    <w:tmpl w:val="5D52AD36"/>
    <w:lvl w:ilvl="0" w:tplc="E19E2F34">
      <w:numFmt w:val="bullet"/>
      <w:lvlText w:val="-"/>
      <w:lvlJc w:val="left"/>
      <w:pPr>
        <w:ind w:left="1773" w:hanging="360"/>
      </w:pPr>
      <w:rPr>
        <w:rFonts w:ascii="Arial" w:eastAsia="Calibri" w:hAnsi="Arial" w:cs="Arial" w:hint="default"/>
      </w:rPr>
    </w:lvl>
    <w:lvl w:ilvl="1" w:tplc="04150003">
      <w:start w:val="1"/>
      <w:numFmt w:val="bullet"/>
      <w:lvlText w:val="o"/>
      <w:lvlJc w:val="left"/>
      <w:pPr>
        <w:ind w:left="2493" w:hanging="360"/>
      </w:pPr>
      <w:rPr>
        <w:rFonts w:ascii="Courier New" w:hAnsi="Courier New" w:cs="Courier New" w:hint="default"/>
      </w:rPr>
    </w:lvl>
    <w:lvl w:ilvl="2" w:tplc="04150005" w:tentative="1">
      <w:start w:val="1"/>
      <w:numFmt w:val="bullet"/>
      <w:lvlText w:val=""/>
      <w:lvlJc w:val="left"/>
      <w:pPr>
        <w:ind w:left="3213" w:hanging="360"/>
      </w:pPr>
      <w:rPr>
        <w:rFonts w:ascii="Wingdings" w:hAnsi="Wingdings" w:hint="default"/>
      </w:rPr>
    </w:lvl>
    <w:lvl w:ilvl="3" w:tplc="04150001" w:tentative="1">
      <w:start w:val="1"/>
      <w:numFmt w:val="bullet"/>
      <w:lvlText w:val=""/>
      <w:lvlJc w:val="left"/>
      <w:pPr>
        <w:ind w:left="3933" w:hanging="360"/>
      </w:pPr>
      <w:rPr>
        <w:rFonts w:ascii="Symbol" w:hAnsi="Symbol" w:hint="default"/>
      </w:rPr>
    </w:lvl>
    <w:lvl w:ilvl="4" w:tplc="04150003" w:tentative="1">
      <w:start w:val="1"/>
      <w:numFmt w:val="bullet"/>
      <w:lvlText w:val="o"/>
      <w:lvlJc w:val="left"/>
      <w:pPr>
        <w:ind w:left="4653" w:hanging="360"/>
      </w:pPr>
      <w:rPr>
        <w:rFonts w:ascii="Courier New" w:hAnsi="Courier New" w:cs="Courier New" w:hint="default"/>
      </w:rPr>
    </w:lvl>
    <w:lvl w:ilvl="5" w:tplc="04150005" w:tentative="1">
      <w:start w:val="1"/>
      <w:numFmt w:val="bullet"/>
      <w:lvlText w:val=""/>
      <w:lvlJc w:val="left"/>
      <w:pPr>
        <w:ind w:left="5373" w:hanging="360"/>
      </w:pPr>
      <w:rPr>
        <w:rFonts w:ascii="Wingdings" w:hAnsi="Wingdings" w:hint="default"/>
      </w:rPr>
    </w:lvl>
    <w:lvl w:ilvl="6" w:tplc="04150001" w:tentative="1">
      <w:start w:val="1"/>
      <w:numFmt w:val="bullet"/>
      <w:lvlText w:val=""/>
      <w:lvlJc w:val="left"/>
      <w:pPr>
        <w:ind w:left="6093" w:hanging="360"/>
      </w:pPr>
      <w:rPr>
        <w:rFonts w:ascii="Symbol" w:hAnsi="Symbol" w:hint="default"/>
      </w:rPr>
    </w:lvl>
    <w:lvl w:ilvl="7" w:tplc="04150003" w:tentative="1">
      <w:start w:val="1"/>
      <w:numFmt w:val="bullet"/>
      <w:lvlText w:val="o"/>
      <w:lvlJc w:val="left"/>
      <w:pPr>
        <w:ind w:left="6813" w:hanging="360"/>
      </w:pPr>
      <w:rPr>
        <w:rFonts w:ascii="Courier New" w:hAnsi="Courier New" w:cs="Courier New" w:hint="default"/>
      </w:rPr>
    </w:lvl>
    <w:lvl w:ilvl="8" w:tplc="04150005" w:tentative="1">
      <w:start w:val="1"/>
      <w:numFmt w:val="bullet"/>
      <w:lvlText w:val=""/>
      <w:lvlJc w:val="left"/>
      <w:pPr>
        <w:ind w:left="7533" w:hanging="360"/>
      </w:pPr>
      <w:rPr>
        <w:rFonts w:ascii="Wingdings" w:hAnsi="Wingdings" w:hint="default"/>
      </w:rPr>
    </w:lvl>
  </w:abstractNum>
  <w:abstractNum w:abstractNumId="18">
    <w:nsid w:val="3C373F41"/>
    <w:multiLevelType w:val="hybridMultilevel"/>
    <w:tmpl w:val="8FD2F9C6"/>
    <w:lvl w:ilvl="0" w:tplc="04150011">
      <w:start w:val="1"/>
      <w:numFmt w:val="decimal"/>
      <w:lvlText w:val="%1)"/>
      <w:lvlJc w:val="left"/>
      <w:pPr>
        <w:ind w:left="720" w:hanging="360"/>
      </w:pPr>
      <w:rPr>
        <w:rFonts w:hint="default"/>
      </w:rPr>
    </w:lvl>
    <w:lvl w:ilvl="1" w:tplc="D438F3B8">
      <w:start w:val="1"/>
      <w:numFmt w:val="lowerLetter"/>
      <w:lvlText w:val="%2)"/>
      <w:lvlJc w:val="left"/>
      <w:pPr>
        <w:ind w:left="1440" w:hanging="360"/>
      </w:pPr>
      <w:rPr>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4127DE"/>
    <w:multiLevelType w:val="hybridMultilevel"/>
    <w:tmpl w:val="6C208E7A"/>
    <w:lvl w:ilvl="0" w:tplc="04150011">
      <w:start w:val="1"/>
      <w:numFmt w:val="decimal"/>
      <w:lvlText w:val="%1)"/>
      <w:lvlJc w:val="left"/>
      <w:pPr>
        <w:ind w:left="714" w:hanging="396"/>
      </w:pPr>
      <w:rPr>
        <w:rFonts w:hint="default"/>
      </w:rPr>
    </w:lvl>
    <w:lvl w:ilvl="1" w:tplc="04150017">
      <w:start w:val="1"/>
      <w:numFmt w:val="lowerLetter"/>
      <w:lvlText w:val="%2)"/>
      <w:lvlJc w:val="left"/>
      <w:pPr>
        <w:ind w:left="1398" w:hanging="360"/>
      </w:pPr>
    </w:lvl>
    <w:lvl w:ilvl="2" w:tplc="0415001B">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20">
    <w:nsid w:val="3F444C60"/>
    <w:multiLevelType w:val="hybridMultilevel"/>
    <w:tmpl w:val="2C18DE64"/>
    <w:lvl w:ilvl="0" w:tplc="325C703C">
      <w:start w:val="2"/>
      <w:numFmt w:val="decimal"/>
      <w:lvlText w:val="%1."/>
      <w:lvlJc w:val="left"/>
      <w:pPr>
        <w:ind w:left="1764" w:hanging="360"/>
      </w:pPr>
      <w:rPr>
        <w:rFonts w:hint="default"/>
      </w:r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21">
    <w:nsid w:val="3F710A74"/>
    <w:multiLevelType w:val="hybridMultilevel"/>
    <w:tmpl w:val="74C2BA1E"/>
    <w:lvl w:ilvl="0" w:tplc="9336E33A">
      <w:start w:val="1"/>
      <w:numFmt w:val="bullet"/>
      <w:lvlText w:val=""/>
      <w:lvlJc w:val="left"/>
      <w:pPr>
        <w:ind w:left="927" w:hanging="360"/>
      </w:pPr>
      <w:rPr>
        <w:rFonts w:ascii="Symbol" w:hAnsi="Symbol"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2">
    <w:nsid w:val="443273A6"/>
    <w:multiLevelType w:val="hybridMultilevel"/>
    <w:tmpl w:val="27D6A390"/>
    <w:lvl w:ilvl="0" w:tplc="CD84DD24">
      <w:start w:val="1"/>
      <w:numFmt w:val="lowerLetter"/>
      <w:lvlText w:val="%1)"/>
      <w:lvlJc w:val="left"/>
      <w:pPr>
        <w:ind w:left="1774" w:hanging="360"/>
      </w:pPr>
      <w:rPr>
        <w:rFonts w:eastAsia="Times New Roman"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3">
    <w:nsid w:val="467A0A53"/>
    <w:multiLevelType w:val="hybridMultilevel"/>
    <w:tmpl w:val="89867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6F03492"/>
    <w:multiLevelType w:val="hybridMultilevel"/>
    <w:tmpl w:val="29A4E8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B5D642E"/>
    <w:multiLevelType w:val="hybridMultilevel"/>
    <w:tmpl w:val="1B422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2435B9"/>
    <w:multiLevelType w:val="hybridMultilevel"/>
    <w:tmpl w:val="85A6B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79E1D22"/>
    <w:multiLevelType w:val="multilevel"/>
    <w:tmpl w:val="D156645E"/>
    <w:lvl w:ilvl="0">
      <w:start w:val="1"/>
      <w:numFmt w:val="decimal"/>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1FD7B9D"/>
    <w:multiLevelType w:val="hybridMultilevel"/>
    <w:tmpl w:val="9BE8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A75D0D"/>
    <w:multiLevelType w:val="hybridMultilevel"/>
    <w:tmpl w:val="87AEAA54"/>
    <w:lvl w:ilvl="0" w:tplc="65AC0B2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862372F"/>
    <w:multiLevelType w:val="hybridMultilevel"/>
    <w:tmpl w:val="A9B40014"/>
    <w:lvl w:ilvl="0" w:tplc="F77A9D40">
      <w:start w:val="1"/>
      <w:numFmt w:val="decimal"/>
      <w:lvlText w:val="%1)"/>
      <w:lvlJc w:val="left"/>
      <w:pPr>
        <w:ind w:left="714" w:hanging="396"/>
      </w:pPr>
      <w:rPr>
        <w:rFonts w:hint="default"/>
      </w:rPr>
    </w:lvl>
    <w:lvl w:ilvl="1" w:tplc="04150017">
      <w:start w:val="1"/>
      <w:numFmt w:val="lowerLetter"/>
      <w:lvlText w:val="%2)"/>
      <w:lvlJc w:val="left"/>
      <w:pPr>
        <w:ind w:left="1398" w:hanging="360"/>
      </w:pPr>
    </w:lvl>
    <w:lvl w:ilvl="2" w:tplc="C00E7650">
      <w:start w:val="1"/>
      <w:numFmt w:val="bullet"/>
      <w:lvlText w:val=""/>
      <w:lvlJc w:val="left"/>
      <w:pPr>
        <w:ind w:left="2118" w:hanging="180"/>
      </w:pPr>
      <w:rPr>
        <w:rFonts w:ascii="Symbol" w:hAnsi="Symbol" w:hint="default"/>
      </w:rPr>
    </w:lvl>
    <w:lvl w:ilvl="3" w:tplc="0415000F">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31">
    <w:nsid w:val="693149E5"/>
    <w:multiLevelType w:val="hybridMultilevel"/>
    <w:tmpl w:val="704815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A354DB6"/>
    <w:multiLevelType w:val="hybridMultilevel"/>
    <w:tmpl w:val="3D86B6CA"/>
    <w:lvl w:ilvl="0" w:tplc="04150011">
      <w:start w:val="1"/>
      <w:numFmt w:val="decimal"/>
      <w:lvlText w:val="%1)"/>
      <w:lvlJc w:val="left"/>
      <w:pPr>
        <w:ind w:left="720" w:hanging="360"/>
      </w:pPr>
      <w:rPr>
        <w:rFonts w:hint="default"/>
      </w:rPr>
    </w:lvl>
    <w:lvl w:ilvl="1" w:tplc="089A6B8E">
      <w:start w:val="1"/>
      <w:numFmt w:val="lowerLetter"/>
      <w:lvlText w:val="%2)"/>
      <w:lvlJc w:val="left"/>
      <w:pPr>
        <w:ind w:left="1440" w:hanging="360"/>
      </w:pPr>
      <w:rPr>
        <w:rFonts w:hint="default"/>
      </w:rPr>
    </w:lvl>
    <w:lvl w:ilvl="2" w:tplc="31A4AC70">
      <w:numFmt w:val="bullet"/>
      <w:lvlText w:val="-"/>
      <w:lvlJc w:val="left"/>
      <w:pPr>
        <w:ind w:left="2732" w:hanging="180"/>
      </w:pPr>
      <w:rPr>
        <w:rFonts w:ascii="Times New Roman" w:eastAsia="Times New Roman" w:hAnsi="Times New Roman" w:cs="Times New Roman" w:hint="default"/>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A563CE9"/>
    <w:multiLevelType w:val="hybridMultilevel"/>
    <w:tmpl w:val="725E1068"/>
    <w:lvl w:ilvl="0" w:tplc="801ADDFA">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nsid w:val="6AF46E5D"/>
    <w:multiLevelType w:val="hybridMultilevel"/>
    <w:tmpl w:val="E70EAC68"/>
    <w:lvl w:ilvl="0" w:tplc="817CEF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6D2205D8"/>
    <w:multiLevelType w:val="hybridMultilevel"/>
    <w:tmpl w:val="DEFE512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nsid w:val="6D546F35"/>
    <w:multiLevelType w:val="hybridMultilevel"/>
    <w:tmpl w:val="D090A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EA26A6"/>
    <w:multiLevelType w:val="hybridMultilevel"/>
    <w:tmpl w:val="4EACB532"/>
    <w:lvl w:ilvl="0" w:tplc="6A56F1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716F6D44"/>
    <w:multiLevelType w:val="hybridMultilevel"/>
    <w:tmpl w:val="B5980D4E"/>
    <w:lvl w:ilvl="0" w:tplc="8C4A7F22">
      <w:start w:val="1"/>
      <w:numFmt w:val="lowerLetter"/>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9">
    <w:nsid w:val="71EE072B"/>
    <w:multiLevelType w:val="hybridMultilevel"/>
    <w:tmpl w:val="9C0C0CAC"/>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77D32FEE"/>
    <w:multiLevelType w:val="hybridMultilevel"/>
    <w:tmpl w:val="B9AA626A"/>
    <w:lvl w:ilvl="0" w:tplc="F4C861F0">
      <w:start w:val="1"/>
      <w:numFmt w:val="decimal"/>
      <w:lvlText w:val="%1)"/>
      <w:lvlJc w:val="left"/>
      <w:pPr>
        <w:ind w:left="984" w:hanging="360"/>
      </w:pPr>
      <w:rPr>
        <w:rFonts w:cs="Times New Roman" w:hint="default"/>
      </w:rPr>
    </w:lvl>
    <w:lvl w:ilvl="1" w:tplc="04150019" w:tentative="1">
      <w:start w:val="1"/>
      <w:numFmt w:val="lowerLetter"/>
      <w:lvlText w:val="%2."/>
      <w:lvlJc w:val="left"/>
      <w:pPr>
        <w:ind w:left="1704" w:hanging="360"/>
      </w:pPr>
      <w:rPr>
        <w:rFonts w:cs="Times New Roman"/>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41">
    <w:nsid w:val="7C7F6B03"/>
    <w:multiLevelType w:val="hybridMultilevel"/>
    <w:tmpl w:val="39DC23D4"/>
    <w:lvl w:ilvl="0" w:tplc="9336E33A">
      <w:start w:val="1"/>
      <w:numFmt w:val="bullet"/>
      <w:lvlText w:val=""/>
      <w:lvlJc w:val="left"/>
      <w:pPr>
        <w:ind w:left="1509" w:hanging="360"/>
      </w:pPr>
      <w:rPr>
        <w:rFonts w:ascii="Symbol" w:hAnsi="Symbol" w:hint="default"/>
      </w:rPr>
    </w:lvl>
    <w:lvl w:ilvl="1" w:tplc="04150003" w:tentative="1">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42">
    <w:nsid w:val="7D9470EE"/>
    <w:multiLevelType w:val="hybridMultilevel"/>
    <w:tmpl w:val="2E143848"/>
    <w:lvl w:ilvl="0" w:tplc="9E2A2C4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7F7C0ECE"/>
    <w:multiLevelType w:val="hybridMultilevel"/>
    <w:tmpl w:val="C0A2839E"/>
    <w:lvl w:ilvl="0" w:tplc="CF68694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5"/>
  </w:num>
  <w:num w:numId="2">
    <w:abstractNumId w:val="36"/>
  </w:num>
  <w:num w:numId="3">
    <w:abstractNumId w:val="34"/>
  </w:num>
  <w:num w:numId="4">
    <w:abstractNumId w:val="13"/>
  </w:num>
  <w:num w:numId="5">
    <w:abstractNumId w:val="26"/>
  </w:num>
  <w:num w:numId="6">
    <w:abstractNumId w:val="23"/>
  </w:num>
  <w:num w:numId="7">
    <w:abstractNumId w:val="1"/>
  </w:num>
  <w:num w:numId="8">
    <w:abstractNumId w:val="6"/>
  </w:num>
  <w:num w:numId="9">
    <w:abstractNumId w:val="31"/>
  </w:num>
  <w:num w:numId="10">
    <w:abstractNumId w:val="39"/>
  </w:num>
  <w:num w:numId="11">
    <w:abstractNumId w:val="43"/>
  </w:num>
  <w:num w:numId="12">
    <w:abstractNumId w:val="35"/>
  </w:num>
  <w:num w:numId="13">
    <w:abstractNumId w:val="15"/>
  </w:num>
  <w:num w:numId="14">
    <w:abstractNumId w:val="29"/>
  </w:num>
  <w:num w:numId="15">
    <w:abstractNumId w:val="25"/>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2"/>
  </w:num>
  <w:num w:numId="19">
    <w:abstractNumId w:val="40"/>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28"/>
  </w:num>
  <w:num w:numId="24">
    <w:abstractNumId w:val="3"/>
  </w:num>
  <w:num w:numId="25">
    <w:abstractNumId w:val="27"/>
  </w:num>
  <w:num w:numId="26">
    <w:abstractNumId w:val="37"/>
  </w:num>
  <w:num w:numId="27">
    <w:abstractNumId w:val="2"/>
  </w:num>
  <w:num w:numId="28">
    <w:abstractNumId w:val="42"/>
  </w:num>
  <w:num w:numId="29">
    <w:abstractNumId w:val="7"/>
  </w:num>
  <w:num w:numId="30">
    <w:abstractNumId w:val="33"/>
  </w:num>
  <w:num w:numId="31">
    <w:abstractNumId w:val="17"/>
  </w:num>
  <w:num w:numId="32">
    <w:abstractNumId w:val="11"/>
  </w:num>
  <w:num w:numId="33">
    <w:abstractNumId w:val="0"/>
  </w:num>
  <w:num w:numId="34">
    <w:abstractNumId w:val="38"/>
  </w:num>
  <w:num w:numId="35">
    <w:abstractNumId w:val="10"/>
  </w:num>
  <w:num w:numId="36">
    <w:abstractNumId w:val="22"/>
  </w:num>
  <w:num w:numId="37">
    <w:abstractNumId w:val="32"/>
  </w:num>
  <w:num w:numId="38">
    <w:abstractNumId w:val="41"/>
  </w:num>
  <w:num w:numId="39">
    <w:abstractNumId w:val="18"/>
  </w:num>
  <w:num w:numId="40">
    <w:abstractNumId w:val="14"/>
  </w:num>
  <w:num w:numId="41">
    <w:abstractNumId w:val="21"/>
  </w:num>
  <w:num w:numId="42">
    <w:abstractNumId w:val="8"/>
  </w:num>
  <w:num w:numId="43">
    <w:abstractNumId w:val="9"/>
  </w:num>
  <w:num w:numId="44">
    <w:abstractNumId w:val="30"/>
  </w:num>
  <w:num w:numId="45">
    <w:abstractNumId w:val="19"/>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B"/>
    <w:rsid w:val="000006B3"/>
    <w:rsid w:val="00002547"/>
    <w:rsid w:val="00021BA8"/>
    <w:rsid w:val="00022C7E"/>
    <w:rsid w:val="000232BE"/>
    <w:rsid w:val="0003056E"/>
    <w:rsid w:val="000352F1"/>
    <w:rsid w:val="000374A8"/>
    <w:rsid w:val="000458AC"/>
    <w:rsid w:val="00045F18"/>
    <w:rsid w:val="00046DD2"/>
    <w:rsid w:val="00047ECC"/>
    <w:rsid w:val="00050389"/>
    <w:rsid w:val="0005449C"/>
    <w:rsid w:val="00061669"/>
    <w:rsid w:val="00070054"/>
    <w:rsid w:val="00070EE4"/>
    <w:rsid w:val="000725BA"/>
    <w:rsid w:val="00073DB4"/>
    <w:rsid w:val="00077209"/>
    <w:rsid w:val="00080198"/>
    <w:rsid w:val="000810D8"/>
    <w:rsid w:val="0008794A"/>
    <w:rsid w:val="000929E4"/>
    <w:rsid w:val="00092C32"/>
    <w:rsid w:val="00095855"/>
    <w:rsid w:val="000A1913"/>
    <w:rsid w:val="000A2FD5"/>
    <w:rsid w:val="000A72DA"/>
    <w:rsid w:val="000B2BF8"/>
    <w:rsid w:val="000B79C6"/>
    <w:rsid w:val="000B7D2A"/>
    <w:rsid w:val="000C269E"/>
    <w:rsid w:val="000D133B"/>
    <w:rsid w:val="000D199E"/>
    <w:rsid w:val="000D2768"/>
    <w:rsid w:val="000D430B"/>
    <w:rsid w:val="000D6242"/>
    <w:rsid w:val="000E3AF9"/>
    <w:rsid w:val="000E4315"/>
    <w:rsid w:val="000F50DB"/>
    <w:rsid w:val="000F5A9E"/>
    <w:rsid w:val="00101E2A"/>
    <w:rsid w:val="00102271"/>
    <w:rsid w:val="00103A70"/>
    <w:rsid w:val="001103B8"/>
    <w:rsid w:val="0011211A"/>
    <w:rsid w:val="00115318"/>
    <w:rsid w:val="00115957"/>
    <w:rsid w:val="001234E9"/>
    <w:rsid w:val="00126FE8"/>
    <w:rsid w:val="0012739D"/>
    <w:rsid w:val="0013257E"/>
    <w:rsid w:val="00134E67"/>
    <w:rsid w:val="00136F71"/>
    <w:rsid w:val="00137153"/>
    <w:rsid w:val="00141CB9"/>
    <w:rsid w:val="00143ED6"/>
    <w:rsid w:val="0014483E"/>
    <w:rsid w:val="001527AA"/>
    <w:rsid w:val="001563BC"/>
    <w:rsid w:val="00160622"/>
    <w:rsid w:val="0016421C"/>
    <w:rsid w:val="0016567A"/>
    <w:rsid w:val="00167117"/>
    <w:rsid w:val="00172B98"/>
    <w:rsid w:val="00175B09"/>
    <w:rsid w:val="00183F3B"/>
    <w:rsid w:val="00185D42"/>
    <w:rsid w:val="00193D2A"/>
    <w:rsid w:val="001950EC"/>
    <w:rsid w:val="001954FA"/>
    <w:rsid w:val="00197284"/>
    <w:rsid w:val="001A33F1"/>
    <w:rsid w:val="001A602D"/>
    <w:rsid w:val="001B26DE"/>
    <w:rsid w:val="001B28AE"/>
    <w:rsid w:val="001C3B9A"/>
    <w:rsid w:val="001C4123"/>
    <w:rsid w:val="001C51EC"/>
    <w:rsid w:val="001C723B"/>
    <w:rsid w:val="001D342A"/>
    <w:rsid w:val="001E21ED"/>
    <w:rsid w:val="001E5ABC"/>
    <w:rsid w:val="001E6B13"/>
    <w:rsid w:val="001F0B7F"/>
    <w:rsid w:val="001F3E89"/>
    <w:rsid w:val="001F439C"/>
    <w:rsid w:val="001F5DA2"/>
    <w:rsid w:val="00201034"/>
    <w:rsid w:val="00201D5D"/>
    <w:rsid w:val="002125D4"/>
    <w:rsid w:val="00216A9B"/>
    <w:rsid w:val="0021750C"/>
    <w:rsid w:val="00217C51"/>
    <w:rsid w:val="00223FD7"/>
    <w:rsid w:val="002360A6"/>
    <w:rsid w:val="00241606"/>
    <w:rsid w:val="0024195C"/>
    <w:rsid w:val="0024325E"/>
    <w:rsid w:val="00246E64"/>
    <w:rsid w:val="002542AB"/>
    <w:rsid w:val="00260328"/>
    <w:rsid w:val="00262E6F"/>
    <w:rsid w:val="002638D7"/>
    <w:rsid w:val="00271B85"/>
    <w:rsid w:val="002770F1"/>
    <w:rsid w:val="002829AC"/>
    <w:rsid w:val="00282E37"/>
    <w:rsid w:val="00286B65"/>
    <w:rsid w:val="0029635A"/>
    <w:rsid w:val="0029790A"/>
    <w:rsid w:val="00297AE0"/>
    <w:rsid w:val="002A0C2B"/>
    <w:rsid w:val="002A4020"/>
    <w:rsid w:val="002B4685"/>
    <w:rsid w:val="002B4B2D"/>
    <w:rsid w:val="002B5C2D"/>
    <w:rsid w:val="002C3D0F"/>
    <w:rsid w:val="002C51CE"/>
    <w:rsid w:val="002C6511"/>
    <w:rsid w:val="002D4A83"/>
    <w:rsid w:val="002E0AB8"/>
    <w:rsid w:val="002E661B"/>
    <w:rsid w:val="002E6D05"/>
    <w:rsid w:val="002F163E"/>
    <w:rsid w:val="002F1B64"/>
    <w:rsid w:val="002F61C7"/>
    <w:rsid w:val="002F720B"/>
    <w:rsid w:val="0030187A"/>
    <w:rsid w:val="00302219"/>
    <w:rsid w:val="00306FE1"/>
    <w:rsid w:val="00310A8F"/>
    <w:rsid w:val="00313342"/>
    <w:rsid w:val="00317345"/>
    <w:rsid w:val="00320565"/>
    <w:rsid w:val="0032161A"/>
    <w:rsid w:val="003228DC"/>
    <w:rsid w:val="00322C2C"/>
    <w:rsid w:val="003231EA"/>
    <w:rsid w:val="00325D4C"/>
    <w:rsid w:val="00333C55"/>
    <w:rsid w:val="00344AD6"/>
    <w:rsid w:val="003472C3"/>
    <w:rsid w:val="00352C2F"/>
    <w:rsid w:val="00353178"/>
    <w:rsid w:val="003547C8"/>
    <w:rsid w:val="003558CF"/>
    <w:rsid w:val="0036312F"/>
    <w:rsid w:val="003660BE"/>
    <w:rsid w:val="00370864"/>
    <w:rsid w:val="003771C3"/>
    <w:rsid w:val="00383794"/>
    <w:rsid w:val="003A3434"/>
    <w:rsid w:val="003A3A31"/>
    <w:rsid w:val="003B060D"/>
    <w:rsid w:val="003B2635"/>
    <w:rsid w:val="003B6BDD"/>
    <w:rsid w:val="003C2A1D"/>
    <w:rsid w:val="003C7B30"/>
    <w:rsid w:val="003D18EA"/>
    <w:rsid w:val="003D40FF"/>
    <w:rsid w:val="003D7BBB"/>
    <w:rsid w:val="003E05D9"/>
    <w:rsid w:val="003E6B97"/>
    <w:rsid w:val="003F58BF"/>
    <w:rsid w:val="003F6334"/>
    <w:rsid w:val="003F74AB"/>
    <w:rsid w:val="00401482"/>
    <w:rsid w:val="00402CFD"/>
    <w:rsid w:val="004034FC"/>
    <w:rsid w:val="00405719"/>
    <w:rsid w:val="00406AB0"/>
    <w:rsid w:val="004168CE"/>
    <w:rsid w:val="0042283A"/>
    <w:rsid w:val="00423EC1"/>
    <w:rsid w:val="00426825"/>
    <w:rsid w:val="00430B35"/>
    <w:rsid w:val="004337C5"/>
    <w:rsid w:val="00434CDD"/>
    <w:rsid w:val="004366B6"/>
    <w:rsid w:val="004372E5"/>
    <w:rsid w:val="00443528"/>
    <w:rsid w:val="00446E46"/>
    <w:rsid w:val="00450063"/>
    <w:rsid w:val="0045575A"/>
    <w:rsid w:val="00455E24"/>
    <w:rsid w:val="00461F32"/>
    <w:rsid w:val="00466F1A"/>
    <w:rsid w:val="00471366"/>
    <w:rsid w:val="0047769D"/>
    <w:rsid w:val="0048006A"/>
    <w:rsid w:val="00481BC8"/>
    <w:rsid w:val="00481D41"/>
    <w:rsid w:val="00482B70"/>
    <w:rsid w:val="004852F5"/>
    <w:rsid w:val="004863C4"/>
    <w:rsid w:val="004929BF"/>
    <w:rsid w:val="00497390"/>
    <w:rsid w:val="004A1343"/>
    <w:rsid w:val="004A5F7F"/>
    <w:rsid w:val="004A7258"/>
    <w:rsid w:val="004A77EF"/>
    <w:rsid w:val="004C19DD"/>
    <w:rsid w:val="004C390A"/>
    <w:rsid w:val="004C6D64"/>
    <w:rsid w:val="004C7372"/>
    <w:rsid w:val="004D2832"/>
    <w:rsid w:val="004E2768"/>
    <w:rsid w:val="004F46E7"/>
    <w:rsid w:val="004F4C97"/>
    <w:rsid w:val="005020E4"/>
    <w:rsid w:val="00502510"/>
    <w:rsid w:val="00505D86"/>
    <w:rsid w:val="0050649F"/>
    <w:rsid w:val="005101F7"/>
    <w:rsid w:val="00514734"/>
    <w:rsid w:val="005201BB"/>
    <w:rsid w:val="00523424"/>
    <w:rsid w:val="00524791"/>
    <w:rsid w:val="00533D2D"/>
    <w:rsid w:val="00535E22"/>
    <w:rsid w:val="00536973"/>
    <w:rsid w:val="00540B4E"/>
    <w:rsid w:val="00544D0A"/>
    <w:rsid w:val="005468B8"/>
    <w:rsid w:val="005474B0"/>
    <w:rsid w:val="005524DC"/>
    <w:rsid w:val="005528C1"/>
    <w:rsid w:val="00562271"/>
    <w:rsid w:val="005828DC"/>
    <w:rsid w:val="00587EAF"/>
    <w:rsid w:val="00591010"/>
    <w:rsid w:val="00592957"/>
    <w:rsid w:val="00595BE6"/>
    <w:rsid w:val="00596B91"/>
    <w:rsid w:val="005978C4"/>
    <w:rsid w:val="005A0850"/>
    <w:rsid w:val="005A315F"/>
    <w:rsid w:val="005B5A5E"/>
    <w:rsid w:val="005B5A69"/>
    <w:rsid w:val="005C19AB"/>
    <w:rsid w:val="005D4745"/>
    <w:rsid w:val="005D5ACD"/>
    <w:rsid w:val="005E17EF"/>
    <w:rsid w:val="005E1A0E"/>
    <w:rsid w:val="005E780D"/>
    <w:rsid w:val="0060081B"/>
    <w:rsid w:val="006112DC"/>
    <w:rsid w:val="00611D22"/>
    <w:rsid w:val="00614005"/>
    <w:rsid w:val="006315C1"/>
    <w:rsid w:val="0063656E"/>
    <w:rsid w:val="00641618"/>
    <w:rsid w:val="00645CA6"/>
    <w:rsid w:val="00650F75"/>
    <w:rsid w:val="00664D29"/>
    <w:rsid w:val="006748CC"/>
    <w:rsid w:val="00674906"/>
    <w:rsid w:val="0067559A"/>
    <w:rsid w:val="0068552B"/>
    <w:rsid w:val="00685A12"/>
    <w:rsid w:val="006901E4"/>
    <w:rsid w:val="006911D8"/>
    <w:rsid w:val="006930A3"/>
    <w:rsid w:val="006B66DF"/>
    <w:rsid w:val="006C00CD"/>
    <w:rsid w:val="006C14FF"/>
    <w:rsid w:val="006C224F"/>
    <w:rsid w:val="006C3FD1"/>
    <w:rsid w:val="006C5446"/>
    <w:rsid w:val="006D6E5C"/>
    <w:rsid w:val="006E097D"/>
    <w:rsid w:val="006E79AF"/>
    <w:rsid w:val="006F1E82"/>
    <w:rsid w:val="006F58CC"/>
    <w:rsid w:val="006F7391"/>
    <w:rsid w:val="0070292A"/>
    <w:rsid w:val="00703FF8"/>
    <w:rsid w:val="007058DD"/>
    <w:rsid w:val="00710849"/>
    <w:rsid w:val="00712298"/>
    <w:rsid w:val="00717438"/>
    <w:rsid w:val="007211F2"/>
    <w:rsid w:val="00726B88"/>
    <w:rsid w:val="007329AF"/>
    <w:rsid w:val="00732A44"/>
    <w:rsid w:val="00732D5A"/>
    <w:rsid w:val="00735A5C"/>
    <w:rsid w:val="0073757B"/>
    <w:rsid w:val="00745144"/>
    <w:rsid w:val="00745485"/>
    <w:rsid w:val="00746CF7"/>
    <w:rsid w:val="007477ED"/>
    <w:rsid w:val="007548A8"/>
    <w:rsid w:val="00754C16"/>
    <w:rsid w:val="00760C84"/>
    <w:rsid w:val="007637F8"/>
    <w:rsid w:val="00771F9B"/>
    <w:rsid w:val="007738BE"/>
    <w:rsid w:val="00791935"/>
    <w:rsid w:val="00791FAC"/>
    <w:rsid w:val="0079363A"/>
    <w:rsid w:val="00795E12"/>
    <w:rsid w:val="007972DD"/>
    <w:rsid w:val="007A04B9"/>
    <w:rsid w:val="007A385E"/>
    <w:rsid w:val="007A4E14"/>
    <w:rsid w:val="007A65CF"/>
    <w:rsid w:val="007B1B49"/>
    <w:rsid w:val="007B2525"/>
    <w:rsid w:val="007B4E08"/>
    <w:rsid w:val="007B4E78"/>
    <w:rsid w:val="007C0C5B"/>
    <w:rsid w:val="007C15E0"/>
    <w:rsid w:val="007C4A94"/>
    <w:rsid w:val="007C6ECC"/>
    <w:rsid w:val="007C706E"/>
    <w:rsid w:val="007D2B0A"/>
    <w:rsid w:val="007D3E88"/>
    <w:rsid w:val="007D5F42"/>
    <w:rsid w:val="007D7645"/>
    <w:rsid w:val="007E012D"/>
    <w:rsid w:val="007E3980"/>
    <w:rsid w:val="007E770E"/>
    <w:rsid w:val="007F6863"/>
    <w:rsid w:val="00800990"/>
    <w:rsid w:val="00801809"/>
    <w:rsid w:val="00802602"/>
    <w:rsid w:val="00804076"/>
    <w:rsid w:val="00804941"/>
    <w:rsid w:val="00806D60"/>
    <w:rsid w:val="00825265"/>
    <w:rsid w:val="0083000B"/>
    <w:rsid w:val="0083024F"/>
    <w:rsid w:val="00834D4A"/>
    <w:rsid w:val="008356C0"/>
    <w:rsid w:val="00837040"/>
    <w:rsid w:val="008575C3"/>
    <w:rsid w:val="00857F80"/>
    <w:rsid w:val="00866711"/>
    <w:rsid w:val="00870D1B"/>
    <w:rsid w:val="0088050B"/>
    <w:rsid w:val="0088169C"/>
    <w:rsid w:val="00883EAC"/>
    <w:rsid w:val="008863EA"/>
    <w:rsid w:val="0089123D"/>
    <w:rsid w:val="0089152B"/>
    <w:rsid w:val="00897D84"/>
    <w:rsid w:val="008A61AB"/>
    <w:rsid w:val="008B022F"/>
    <w:rsid w:val="008B05F7"/>
    <w:rsid w:val="008B23D9"/>
    <w:rsid w:val="008B5168"/>
    <w:rsid w:val="008C13AC"/>
    <w:rsid w:val="008C1820"/>
    <w:rsid w:val="008C46D2"/>
    <w:rsid w:val="008C6856"/>
    <w:rsid w:val="008C7669"/>
    <w:rsid w:val="008D4C71"/>
    <w:rsid w:val="008E47B8"/>
    <w:rsid w:val="008E4F66"/>
    <w:rsid w:val="008E6A48"/>
    <w:rsid w:val="008E7B15"/>
    <w:rsid w:val="008F54E9"/>
    <w:rsid w:val="008F5DE6"/>
    <w:rsid w:val="008F723A"/>
    <w:rsid w:val="009040FF"/>
    <w:rsid w:val="00907E0B"/>
    <w:rsid w:val="00913B0B"/>
    <w:rsid w:val="00914321"/>
    <w:rsid w:val="00917B23"/>
    <w:rsid w:val="009202D6"/>
    <w:rsid w:val="00927D01"/>
    <w:rsid w:val="009400DA"/>
    <w:rsid w:val="0094145C"/>
    <w:rsid w:val="0094396B"/>
    <w:rsid w:val="009448D0"/>
    <w:rsid w:val="00955FAB"/>
    <w:rsid w:val="0097002F"/>
    <w:rsid w:val="00977240"/>
    <w:rsid w:val="009807B6"/>
    <w:rsid w:val="0098446B"/>
    <w:rsid w:val="009847F4"/>
    <w:rsid w:val="0098585C"/>
    <w:rsid w:val="0099169D"/>
    <w:rsid w:val="00997868"/>
    <w:rsid w:val="00997A5C"/>
    <w:rsid w:val="009A2958"/>
    <w:rsid w:val="009B48FE"/>
    <w:rsid w:val="009B7E37"/>
    <w:rsid w:val="009C1404"/>
    <w:rsid w:val="009C2775"/>
    <w:rsid w:val="009C584C"/>
    <w:rsid w:val="009C61D0"/>
    <w:rsid w:val="009D501A"/>
    <w:rsid w:val="009E1CF6"/>
    <w:rsid w:val="009E301A"/>
    <w:rsid w:val="009E76BD"/>
    <w:rsid w:val="009F3228"/>
    <w:rsid w:val="00A03B79"/>
    <w:rsid w:val="00A03C61"/>
    <w:rsid w:val="00A06B0D"/>
    <w:rsid w:val="00A1502A"/>
    <w:rsid w:val="00A16992"/>
    <w:rsid w:val="00A20873"/>
    <w:rsid w:val="00A23C43"/>
    <w:rsid w:val="00A30B94"/>
    <w:rsid w:val="00A31D2E"/>
    <w:rsid w:val="00A374A6"/>
    <w:rsid w:val="00A44A3B"/>
    <w:rsid w:val="00A46463"/>
    <w:rsid w:val="00A46703"/>
    <w:rsid w:val="00A469ED"/>
    <w:rsid w:val="00A47512"/>
    <w:rsid w:val="00A50803"/>
    <w:rsid w:val="00A51D4C"/>
    <w:rsid w:val="00A525EE"/>
    <w:rsid w:val="00A52A12"/>
    <w:rsid w:val="00A5378B"/>
    <w:rsid w:val="00A644C6"/>
    <w:rsid w:val="00A72E80"/>
    <w:rsid w:val="00A74A62"/>
    <w:rsid w:val="00A8120C"/>
    <w:rsid w:val="00A84781"/>
    <w:rsid w:val="00A9225D"/>
    <w:rsid w:val="00AB50CB"/>
    <w:rsid w:val="00AB5C0D"/>
    <w:rsid w:val="00AB62DC"/>
    <w:rsid w:val="00AC2816"/>
    <w:rsid w:val="00AC4137"/>
    <w:rsid w:val="00AE13A6"/>
    <w:rsid w:val="00AE7BB3"/>
    <w:rsid w:val="00AF4476"/>
    <w:rsid w:val="00B00F7A"/>
    <w:rsid w:val="00B02A76"/>
    <w:rsid w:val="00B063E8"/>
    <w:rsid w:val="00B06A5F"/>
    <w:rsid w:val="00B07651"/>
    <w:rsid w:val="00B10D52"/>
    <w:rsid w:val="00B156A9"/>
    <w:rsid w:val="00B20079"/>
    <w:rsid w:val="00B25212"/>
    <w:rsid w:val="00B418B9"/>
    <w:rsid w:val="00B45E22"/>
    <w:rsid w:val="00B4761D"/>
    <w:rsid w:val="00B503E2"/>
    <w:rsid w:val="00B50B0D"/>
    <w:rsid w:val="00B52120"/>
    <w:rsid w:val="00B66A71"/>
    <w:rsid w:val="00B81D15"/>
    <w:rsid w:val="00B87562"/>
    <w:rsid w:val="00B9272E"/>
    <w:rsid w:val="00B96507"/>
    <w:rsid w:val="00BA1D7F"/>
    <w:rsid w:val="00BA27CA"/>
    <w:rsid w:val="00BA4B0D"/>
    <w:rsid w:val="00BB63E8"/>
    <w:rsid w:val="00BC12E6"/>
    <w:rsid w:val="00BC156C"/>
    <w:rsid w:val="00BE48AA"/>
    <w:rsid w:val="00BF3F6F"/>
    <w:rsid w:val="00BF51CA"/>
    <w:rsid w:val="00BF5914"/>
    <w:rsid w:val="00BF69FE"/>
    <w:rsid w:val="00C03383"/>
    <w:rsid w:val="00C065B5"/>
    <w:rsid w:val="00C1395D"/>
    <w:rsid w:val="00C22322"/>
    <w:rsid w:val="00C230D1"/>
    <w:rsid w:val="00C259F7"/>
    <w:rsid w:val="00C320FE"/>
    <w:rsid w:val="00C42DC2"/>
    <w:rsid w:val="00C454F3"/>
    <w:rsid w:val="00C51FF2"/>
    <w:rsid w:val="00C550C6"/>
    <w:rsid w:val="00C6070C"/>
    <w:rsid w:val="00C66DC8"/>
    <w:rsid w:val="00C71BBF"/>
    <w:rsid w:val="00C72F95"/>
    <w:rsid w:val="00C74004"/>
    <w:rsid w:val="00C74C16"/>
    <w:rsid w:val="00C81646"/>
    <w:rsid w:val="00C8720D"/>
    <w:rsid w:val="00C91AE5"/>
    <w:rsid w:val="00C95E29"/>
    <w:rsid w:val="00C96D6E"/>
    <w:rsid w:val="00CA074F"/>
    <w:rsid w:val="00CA1CFE"/>
    <w:rsid w:val="00CA44B8"/>
    <w:rsid w:val="00CA4719"/>
    <w:rsid w:val="00CA77B9"/>
    <w:rsid w:val="00CB0C67"/>
    <w:rsid w:val="00CB2182"/>
    <w:rsid w:val="00CC4DD2"/>
    <w:rsid w:val="00CC5A06"/>
    <w:rsid w:val="00CD1D23"/>
    <w:rsid w:val="00CD2968"/>
    <w:rsid w:val="00CD30C8"/>
    <w:rsid w:val="00CD73ED"/>
    <w:rsid w:val="00CE478D"/>
    <w:rsid w:val="00CF2831"/>
    <w:rsid w:val="00D00BCB"/>
    <w:rsid w:val="00D041AB"/>
    <w:rsid w:val="00D1289D"/>
    <w:rsid w:val="00D16D6E"/>
    <w:rsid w:val="00D2653B"/>
    <w:rsid w:val="00D34275"/>
    <w:rsid w:val="00D40557"/>
    <w:rsid w:val="00D6070B"/>
    <w:rsid w:val="00D650E4"/>
    <w:rsid w:val="00D7139E"/>
    <w:rsid w:val="00D72516"/>
    <w:rsid w:val="00D776D9"/>
    <w:rsid w:val="00D960D9"/>
    <w:rsid w:val="00DA7A80"/>
    <w:rsid w:val="00DB3D51"/>
    <w:rsid w:val="00DB3ED8"/>
    <w:rsid w:val="00DB44B2"/>
    <w:rsid w:val="00DB6D22"/>
    <w:rsid w:val="00DC0E58"/>
    <w:rsid w:val="00DD14F7"/>
    <w:rsid w:val="00DD3EDB"/>
    <w:rsid w:val="00DD4684"/>
    <w:rsid w:val="00DE3BE6"/>
    <w:rsid w:val="00DE45C1"/>
    <w:rsid w:val="00DF2F2F"/>
    <w:rsid w:val="00E00504"/>
    <w:rsid w:val="00E11D0E"/>
    <w:rsid w:val="00E174F6"/>
    <w:rsid w:val="00E20ADC"/>
    <w:rsid w:val="00E21C76"/>
    <w:rsid w:val="00E22972"/>
    <w:rsid w:val="00E231A3"/>
    <w:rsid w:val="00E36C20"/>
    <w:rsid w:val="00E37C4B"/>
    <w:rsid w:val="00E41DC5"/>
    <w:rsid w:val="00E4286B"/>
    <w:rsid w:val="00E52CC3"/>
    <w:rsid w:val="00E54A92"/>
    <w:rsid w:val="00E56AA9"/>
    <w:rsid w:val="00E57F6A"/>
    <w:rsid w:val="00E62AD0"/>
    <w:rsid w:val="00E652F7"/>
    <w:rsid w:val="00E76B22"/>
    <w:rsid w:val="00E77789"/>
    <w:rsid w:val="00E84838"/>
    <w:rsid w:val="00E91D8B"/>
    <w:rsid w:val="00E9336A"/>
    <w:rsid w:val="00EB090C"/>
    <w:rsid w:val="00EB4BCE"/>
    <w:rsid w:val="00EB65DA"/>
    <w:rsid w:val="00EC2F64"/>
    <w:rsid w:val="00EC39B3"/>
    <w:rsid w:val="00EC4394"/>
    <w:rsid w:val="00ED10D2"/>
    <w:rsid w:val="00ED21E1"/>
    <w:rsid w:val="00ED3B81"/>
    <w:rsid w:val="00ED3E50"/>
    <w:rsid w:val="00ED462F"/>
    <w:rsid w:val="00ED4AF7"/>
    <w:rsid w:val="00ED67B2"/>
    <w:rsid w:val="00ED78EE"/>
    <w:rsid w:val="00EE4353"/>
    <w:rsid w:val="00EE46E9"/>
    <w:rsid w:val="00EE4E46"/>
    <w:rsid w:val="00EF4326"/>
    <w:rsid w:val="00EF4EF2"/>
    <w:rsid w:val="00EF5FF7"/>
    <w:rsid w:val="00F00D44"/>
    <w:rsid w:val="00F07942"/>
    <w:rsid w:val="00F216D1"/>
    <w:rsid w:val="00F22F79"/>
    <w:rsid w:val="00F302B9"/>
    <w:rsid w:val="00F30B41"/>
    <w:rsid w:val="00F36E7D"/>
    <w:rsid w:val="00F37944"/>
    <w:rsid w:val="00F40683"/>
    <w:rsid w:val="00F43E18"/>
    <w:rsid w:val="00F46460"/>
    <w:rsid w:val="00F47ACB"/>
    <w:rsid w:val="00F54569"/>
    <w:rsid w:val="00F60368"/>
    <w:rsid w:val="00F60B4F"/>
    <w:rsid w:val="00F77371"/>
    <w:rsid w:val="00F77F31"/>
    <w:rsid w:val="00F80D05"/>
    <w:rsid w:val="00F81FBF"/>
    <w:rsid w:val="00F845BD"/>
    <w:rsid w:val="00F940E7"/>
    <w:rsid w:val="00FA112A"/>
    <w:rsid w:val="00FA21E5"/>
    <w:rsid w:val="00FA559A"/>
    <w:rsid w:val="00FA592F"/>
    <w:rsid w:val="00FA5ACA"/>
    <w:rsid w:val="00FA7BE2"/>
    <w:rsid w:val="00FB59D6"/>
    <w:rsid w:val="00FB63FB"/>
    <w:rsid w:val="00FB7DF2"/>
    <w:rsid w:val="00FC1696"/>
    <w:rsid w:val="00FC1972"/>
    <w:rsid w:val="00FC2485"/>
    <w:rsid w:val="00FD3188"/>
    <w:rsid w:val="00FD56E5"/>
    <w:rsid w:val="00FD6D06"/>
    <w:rsid w:val="00FD747F"/>
    <w:rsid w:val="00FE4D4E"/>
    <w:rsid w:val="00FE7809"/>
    <w:rsid w:val="00FF0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446B"/>
    <w:rPr>
      <w:rFonts w:ascii="Times New Roman" w:eastAsia="Times New Roman" w:hAnsi="Times New Roman"/>
      <w:sz w:val="24"/>
      <w:szCs w:val="24"/>
    </w:rPr>
  </w:style>
  <w:style w:type="paragraph" w:styleId="Nagwek1">
    <w:name w:val="heading 1"/>
    <w:basedOn w:val="Normalny"/>
    <w:link w:val="Nagwek1Znak"/>
    <w:uiPriority w:val="9"/>
    <w:qFormat/>
    <w:rsid w:val="0014483E"/>
    <w:pPr>
      <w:keepNext/>
      <w:spacing w:before="240" w:after="60" w:line="360" w:lineRule="atLeast"/>
      <w:jc w:val="both"/>
      <w:outlineLvl w:val="0"/>
    </w:pPr>
    <w:rPr>
      <w:rFonts w:ascii="Arial" w:eastAsia="Calibri" w:hAnsi="Arial"/>
      <w:b/>
      <w:bCs/>
      <w:kern w:val="36"/>
      <w:sz w:val="32"/>
      <w:szCs w:val="32"/>
      <w:lang w:val="x-none" w:eastAsia="x-none"/>
    </w:rPr>
  </w:style>
  <w:style w:type="paragraph" w:styleId="Nagwek2">
    <w:name w:val="heading 2"/>
    <w:basedOn w:val="Normalny"/>
    <w:next w:val="Normalny"/>
    <w:link w:val="Nagwek2Znak"/>
    <w:uiPriority w:val="9"/>
    <w:unhideWhenUsed/>
    <w:qFormat/>
    <w:rsid w:val="00E37C4B"/>
    <w:pPr>
      <w:keepNext/>
      <w:spacing w:before="240" w:after="60"/>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446B"/>
    <w:pPr>
      <w:ind w:left="720"/>
      <w:contextualSpacing/>
    </w:pPr>
  </w:style>
  <w:style w:type="table" w:styleId="Tabela-Siatka">
    <w:name w:val="Table Grid"/>
    <w:basedOn w:val="Standardowy"/>
    <w:uiPriority w:val="59"/>
    <w:rsid w:val="002F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6E79AF"/>
    <w:rPr>
      <w:sz w:val="16"/>
      <w:szCs w:val="16"/>
    </w:rPr>
  </w:style>
  <w:style w:type="paragraph" w:styleId="Tekstkomentarza">
    <w:name w:val="annotation text"/>
    <w:basedOn w:val="Normalny"/>
    <w:link w:val="TekstkomentarzaZnak"/>
    <w:uiPriority w:val="99"/>
    <w:unhideWhenUsed/>
    <w:rsid w:val="006E79AF"/>
    <w:rPr>
      <w:sz w:val="20"/>
      <w:szCs w:val="20"/>
      <w:lang w:val="x-none"/>
    </w:rPr>
  </w:style>
  <w:style w:type="character" w:customStyle="1" w:styleId="TekstkomentarzaZnak">
    <w:name w:val="Tekst komentarza Znak"/>
    <w:link w:val="Tekstkomentarza"/>
    <w:uiPriority w:val="99"/>
    <w:rsid w:val="006E79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79AF"/>
    <w:rPr>
      <w:b/>
      <w:bCs/>
    </w:rPr>
  </w:style>
  <w:style w:type="character" w:customStyle="1" w:styleId="TematkomentarzaZnak">
    <w:name w:val="Temat komentarza Znak"/>
    <w:link w:val="Tematkomentarza"/>
    <w:uiPriority w:val="99"/>
    <w:semiHidden/>
    <w:rsid w:val="006E79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79AF"/>
    <w:rPr>
      <w:rFonts w:ascii="Tahoma" w:hAnsi="Tahoma"/>
      <w:sz w:val="16"/>
      <w:szCs w:val="16"/>
      <w:lang w:val="x-none"/>
    </w:rPr>
  </w:style>
  <w:style w:type="character" w:customStyle="1" w:styleId="TekstdymkaZnak">
    <w:name w:val="Tekst dymka Znak"/>
    <w:link w:val="Tekstdymka"/>
    <w:uiPriority w:val="99"/>
    <w:semiHidden/>
    <w:rsid w:val="006E79AF"/>
    <w:rPr>
      <w:rFonts w:ascii="Tahoma" w:eastAsia="Times New Roman" w:hAnsi="Tahoma" w:cs="Tahoma"/>
      <w:sz w:val="16"/>
      <w:szCs w:val="16"/>
      <w:lang w:eastAsia="pl-PL"/>
    </w:rPr>
  </w:style>
  <w:style w:type="paragraph" w:customStyle="1" w:styleId="uchwalatytul">
    <w:name w:val="uchwalatytul"/>
    <w:basedOn w:val="Normalny"/>
    <w:rsid w:val="00E54A92"/>
    <w:pPr>
      <w:spacing w:before="100" w:beforeAutospacing="1" w:after="100" w:afterAutospacing="1"/>
    </w:pPr>
  </w:style>
  <w:style w:type="character" w:customStyle="1" w:styleId="Nagwek1Znak">
    <w:name w:val="Nagłówek 1 Znak"/>
    <w:link w:val="Nagwek1"/>
    <w:uiPriority w:val="9"/>
    <w:rsid w:val="0014483E"/>
    <w:rPr>
      <w:rFonts w:ascii="Arial" w:hAnsi="Arial" w:cs="Arial"/>
      <w:b/>
      <w:bCs/>
      <w:kern w:val="36"/>
      <w:sz w:val="32"/>
      <w:szCs w:val="32"/>
    </w:rPr>
  </w:style>
  <w:style w:type="paragraph" w:customStyle="1" w:styleId="wysrodkowany">
    <w:name w:val="wysrodkowany"/>
    <w:basedOn w:val="Normalny"/>
    <w:rsid w:val="00EE4353"/>
    <w:pPr>
      <w:spacing w:before="100" w:beforeAutospacing="1" w:after="100" w:afterAutospacing="1"/>
    </w:pPr>
  </w:style>
  <w:style w:type="character" w:styleId="Pogrubienie">
    <w:name w:val="Strong"/>
    <w:uiPriority w:val="22"/>
    <w:qFormat/>
    <w:rsid w:val="00EE4353"/>
    <w:rPr>
      <w:b/>
      <w:bCs/>
    </w:rPr>
  </w:style>
  <w:style w:type="character" w:customStyle="1" w:styleId="Nagwek2Znak">
    <w:name w:val="Nagłówek 2 Znak"/>
    <w:link w:val="Nagwek2"/>
    <w:uiPriority w:val="9"/>
    <w:rsid w:val="00E37C4B"/>
    <w:rPr>
      <w:rFonts w:ascii="Cambria" w:eastAsia="Times New Roman" w:hAnsi="Cambria" w:cs="Times New Roman"/>
      <w:b/>
      <w:bCs/>
      <w:i/>
      <w:iCs/>
      <w:sz w:val="28"/>
      <w:szCs w:val="28"/>
    </w:rPr>
  </w:style>
  <w:style w:type="character" w:styleId="Uwydatnienie">
    <w:name w:val="Emphasis"/>
    <w:uiPriority w:val="20"/>
    <w:qFormat/>
    <w:rsid w:val="00217C51"/>
    <w:rPr>
      <w:i/>
      <w:iCs/>
    </w:rPr>
  </w:style>
  <w:style w:type="paragraph" w:styleId="Bezodstpw">
    <w:name w:val="No Spacing"/>
    <w:uiPriority w:val="1"/>
    <w:qFormat/>
    <w:rsid w:val="00EF4EF2"/>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446B"/>
    <w:rPr>
      <w:rFonts w:ascii="Times New Roman" w:eastAsia="Times New Roman" w:hAnsi="Times New Roman"/>
      <w:sz w:val="24"/>
      <w:szCs w:val="24"/>
    </w:rPr>
  </w:style>
  <w:style w:type="paragraph" w:styleId="Nagwek1">
    <w:name w:val="heading 1"/>
    <w:basedOn w:val="Normalny"/>
    <w:link w:val="Nagwek1Znak"/>
    <w:uiPriority w:val="9"/>
    <w:qFormat/>
    <w:rsid w:val="0014483E"/>
    <w:pPr>
      <w:keepNext/>
      <w:spacing w:before="240" w:after="60" w:line="360" w:lineRule="atLeast"/>
      <w:jc w:val="both"/>
      <w:outlineLvl w:val="0"/>
    </w:pPr>
    <w:rPr>
      <w:rFonts w:ascii="Arial" w:eastAsia="Calibri" w:hAnsi="Arial"/>
      <w:b/>
      <w:bCs/>
      <w:kern w:val="36"/>
      <w:sz w:val="32"/>
      <w:szCs w:val="32"/>
      <w:lang w:val="x-none" w:eastAsia="x-none"/>
    </w:rPr>
  </w:style>
  <w:style w:type="paragraph" w:styleId="Nagwek2">
    <w:name w:val="heading 2"/>
    <w:basedOn w:val="Normalny"/>
    <w:next w:val="Normalny"/>
    <w:link w:val="Nagwek2Znak"/>
    <w:uiPriority w:val="9"/>
    <w:unhideWhenUsed/>
    <w:qFormat/>
    <w:rsid w:val="00E37C4B"/>
    <w:pPr>
      <w:keepNext/>
      <w:spacing w:before="240" w:after="60"/>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446B"/>
    <w:pPr>
      <w:ind w:left="720"/>
      <w:contextualSpacing/>
    </w:pPr>
  </w:style>
  <w:style w:type="table" w:styleId="Tabela-Siatka">
    <w:name w:val="Table Grid"/>
    <w:basedOn w:val="Standardowy"/>
    <w:uiPriority w:val="59"/>
    <w:rsid w:val="002F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6E79AF"/>
    <w:rPr>
      <w:sz w:val="16"/>
      <w:szCs w:val="16"/>
    </w:rPr>
  </w:style>
  <w:style w:type="paragraph" w:styleId="Tekstkomentarza">
    <w:name w:val="annotation text"/>
    <w:basedOn w:val="Normalny"/>
    <w:link w:val="TekstkomentarzaZnak"/>
    <w:uiPriority w:val="99"/>
    <w:unhideWhenUsed/>
    <w:rsid w:val="006E79AF"/>
    <w:rPr>
      <w:sz w:val="20"/>
      <w:szCs w:val="20"/>
      <w:lang w:val="x-none"/>
    </w:rPr>
  </w:style>
  <w:style w:type="character" w:customStyle="1" w:styleId="TekstkomentarzaZnak">
    <w:name w:val="Tekst komentarza Znak"/>
    <w:link w:val="Tekstkomentarza"/>
    <w:uiPriority w:val="99"/>
    <w:rsid w:val="006E79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79AF"/>
    <w:rPr>
      <w:b/>
      <w:bCs/>
    </w:rPr>
  </w:style>
  <w:style w:type="character" w:customStyle="1" w:styleId="TematkomentarzaZnak">
    <w:name w:val="Temat komentarza Znak"/>
    <w:link w:val="Tematkomentarza"/>
    <w:uiPriority w:val="99"/>
    <w:semiHidden/>
    <w:rsid w:val="006E79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79AF"/>
    <w:rPr>
      <w:rFonts w:ascii="Tahoma" w:hAnsi="Tahoma"/>
      <w:sz w:val="16"/>
      <w:szCs w:val="16"/>
      <w:lang w:val="x-none"/>
    </w:rPr>
  </w:style>
  <w:style w:type="character" w:customStyle="1" w:styleId="TekstdymkaZnak">
    <w:name w:val="Tekst dymka Znak"/>
    <w:link w:val="Tekstdymka"/>
    <w:uiPriority w:val="99"/>
    <w:semiHidden/>
    <w:rsid w:val="006E79AF"/>
    <w:rPr>
      <w:rFonts w:ascii="Tahoma" w:eastAsia="Times New Roman" w:hAnsi="Tahoma" w:cs="Tahoma"/>
      <w:sz w:val="16"/>
      <w:szCs w:val="16"/>
      <w:lang w:eastAsia="pl-PL"/>
    </w:rPr>
  </w:style>
  <w:style w:type="paragraph" w:customStyle="1" w:styleId="uchwalatytul">
    <w:name w:val="uchwalatytul"/>
    <w:basedOn w:val="Normalny"/>
    <w:rsid w:val="00E54A92"/>
    <w:pPr>
      <w:spacing w:before="100" w:beforeAutospacing="1" w:after="100" w:afterAutospacing="1"/>
    </w:pPr>
  </w:style>
  <w:style w:type="character" w:customStyle="1" w:styleId="Nagwek1Znak">
    <w:name w:val="Nagłówek 1 Znak"/>
    <w:link w:val="Nagwek1"/>
    <w:uiPriority w:val="9"/>
    <w:rsid w:val="0014483E"/>
    <w:rPr>
      <w:rFonts w:ascii="Arial" w:hAnsi="Arial" w:cs="Arial"/>
      <w:b/>
      <w:bCs/>
      <w:kern w:val="36"/>
      <w:sz w:val="32"/>
      <w:szCs w:val="32"/>
    </w:rPr>
  </w:style>
  <w:style w:type="paragraph" w:customStyle="1" w:styleId="wysrodkowany">
    <w:name w:val="wysrodkowany"/>
    <w:basedOn w:val="Normalny"/>
    <w:rsid w:val="00EE4353"/>
    <w:pPr>
      <w:spacing w:before="100" w:beforeAutospacing="1" w:after="100" w:afterAutospacing="1"/>
    </w:pPr>
  </w:style>
  <w:style w:type="character" w:styleId="Pogrubienie">
    <w:name w:val="Strong"/>
    <w:uiPriority w:val="22"/>
    <w:qFormat/>
    <w:rsid w:val="00EE4353"/>
    <w:rPr>
      <w:b/>
      <w:bCs/>
    </w:rPr>
  </w:style>
  <w:style w:type="character" w:customStyle="1" w:styleId="Nagwek2Znak">
    <w:name w:val="Nagłówek 2 Znak"/>
    <w:link w:val="Nagwek2"/>
    <w:uiPriority w:val="9"/>
    <w:rsid w:val="00E37C4B"/>
    <w:rPr>
      <w:rFonts w:ascii="Cambria" w:eastAsia="Times New Roman" w:hAnsi="Cambria" w:cs="Times New Roman"/>
      <w:b/>
      <w:bCs/>
      <w:i/>
      <w:iCs/>
      <w:sz w:val="28"/>
      <w:szCs w:val="28"/>
    </w:rPr>
  </w:style>
  <w:style w:type="character" w:styleId="Uwydatnienie">
    <w:name w:val="Emphasis"/>
    <w:uiPriority w:val="20"/>
    <w:qFormat/>
    <w:rsid w:val="00217C51"/>
    <w:rPr>
      <w:i/>
      <w:iCs/>
    </w:rPr>
  </w:style>
  <w:style w:type="paragraph" w:styleId="Bezodstpw">
    <w:name w:val="No Spacing"/>
    <w:uiPriority w:val="1"/>
    <w:qFormat/>
    <w:rsid w:val="00EF4EF2"/>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81076">
      <w:bodyDiv w:val="1"/>
      <w:marLeft w:val="0"/>
      <w:marRight w:val="0"/>
      <w:marTop w:val="0"/>
      <w:marBottom w:val="0"/>
      <w:divBdr>
        <w:top w:val="none" w:sz="0" w:space="0" w:color="auto"/>
        <w:left w:val="none" w:sz="0" w:space="0" w:color="auto"/>
        <w:bottom w:val="none" w:sz="0" w:space="0" w:color="auto"/>
        <w:right w:val="none" w:sz="0" w:space="0" w:color="auto"/>
      </w:divBdr>
    </w:div>
    <w:div w:id="82840407">
      <w:bodyDiv w:val="1"/>
      <w:marLeft w:val="0"/>
      <w:marRight w:val="0"/>
      <w:marTop w:val="0"/>
      <w:marBottom w:val="0"/>
      <w:divBdr>
        <w:top w:val="none" w:sz="0" w:space="0" w:color="auto"/>
        <w:left w:val="none" w:sz="0" w:space="0" w:color="auto"/>
        <w:bottom w:val="none" w:sz="0" w:space="0" w:color="auto"/>
        <w:right w:val="none" w:sz="0" w:space="0" w:color="auto"/>
      </w:divBdr>
    </w:div>
    <w:div w:id="265037840">
      <w:bodyDiv w:val="1"/>
      <w:marLeft w:val="0"/>
      <w:marRight w:val="0"/>
      <w:marTop w:val="0"/>
      <w:marBottom w:val="0"/>
      <w:divBdr>
        <w:top w:val="none" w:sz="0" w:space="0" w:color="auto"/>
        <w:left w:val="none" w:sz="0" w:space="0" w:color="auto"/>
        <w:bottom w:val="none" w:sz="0" w:space="0" w:color="auto"/>
        <w:right w:val="none" w:sz="0" w:space="0" w:color="auto"/>
      </w:divBdr>
    </w:div>
    <w:div w:id="321541778">
      <w:bodyDiv w:val="1"/>
      <w:marLeft w:val="0"/>
      <w:marRight w:val="0"/>
      <w:marTop w:val="0"/>
      <w:marBottom w:val="0"/>
      <w:divBdr>
        <w:top w:val="none" w:sz="0" w:space="0" w:color="auto"/>
        <w:left w:val="none" w:sz="0" w:space="0" w:color="auto"/>
        <w:bottom w:val="none" w:sz="0" w:space="0" w:color="auto"/>
        <w:right w:val="none" w:sz="0" w:space="0" w:color="auto"/>
      </w:divBdr>
    </w:div>
    <w:div w:id="871649208">
      <w:bodyDiv w:val="1"/>
      <w:marLeft w:val="0"/>
      <w:marRight w:val="0"/>
      <w:marTop w:val="0"/>
      <w:marBottom w:val="0"/>
      <w:divBdr>
        <w:top w:val="none" w:sz="0" w:space="0" w:color="auto"/>
        <w:left w:val="none" w:sz="0" w:space="0" w:color="auto"/>
        <w:bottom w:val="none" w:sz="0" w:space="0" w:color="auto"/>
        <w:right w:val="none" w:sz="0" w:space="0" w:color="auto"/>
      </w:divBdr>
      <w:divsChild>
        <w:div w:id="2079134926">
          <w:marLeft w:val="0"/>
          <w:marRight w:val="0"/>
          <w:marTop w:val="0"/>
          <w:marBottom w:val="0"/>
          <w:divBdr>
            <w:top w:val="none" w:sz="0" w:space="0" w:color="auto"/>
            <w:left w:val="none" w:sz="0" w:space="0" w:color="auto"/>
            <w:bottom w:val="none" w:sz="0" w:space="0" w:color="auto"/>
            <w:right w:val="none" w:sz="0" w:space="0" w:color="auto"/>
          </w:divBdr>
          <w:divsChild>
            <w:div w:id="1215120255">
              <w:marLeft w:val="0"/>
              <w:marRight w:val="0"/>
              <w:marTop w:val="0"/>
              <w:marBottom w:val="0"/>
              <w:divBdr>
                <w:top w:val="none" w:sz="0" w:space="0" w:color="auto"/>
                <w:left w:val="none" w:sz="0" w:space="0" w:color="auto"/>
                <w:bottom w:val="none" w:sz="0" w:space="0" w:color="auto"/>
                <w:right w:val="none" w:sz="0" w:space="0" w:color="auto"/>
              </w:divBdr>
              <w:divsChild>
                <w:div w:id="913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86225">
      <w:bodyDiv w:val="1"/>
      <w:marLeft w:val="0"/>
      <w:marRight w:val="0"/>
      <w:marTop w:val="0"/>
      <w:marBottom w:val="0"/>
      <w:divBdr>
        <w:top w:val="none" w:sz="0" w:space="0" w:color="auto"/>
        <w:left w:val="none" w:sz="0" w:space="0" w:color="auto"/>
        <w:bottom w:val="none" w:sz="0" w:space="0" w:color="auto"/>
        <w:right w:val="none" w:sz="0" w:space="0" w:color="auto"/>
      </w:divBdr>
    </w:div>
    <w:div w:id="993145358">
      <w:bodyDiv w:val="1"/>
      <w:marLeft w:val="0"/>
      <w:marRight w:val="0"/>
      <w:marTop w:val="0"/>
      <w:marBottom w:val="0"/>
      <w:divBdr>
        <w:top w:val="none" w:sz="0" w:space="0" w:color="auto"/>
        <w:left w:val="none" w:sz="0" w:space="0" w:color="auto"/>
        <w:bottom w:val="none" w:sz="0" w:space="0" w:color="auto"/>
        <w:right w:val="none" w:sz="0" w:space="0" w:color="auto"/>
      </w:divBdr>
      <w:divsChild>
        <w:div w:id="1598756061">
          <w:marLeft w:val="0"/>
          <w:marRight w:val="0"/>
          <w:marTop w:val="0"/>
          <w:marBottom w:val="0"/>
          <w:divBdr>
            <w:top w:val="none" w:sz="0" w:space="0" w:color="auto"/>
            <w:left w:val="none" w:sz="0" w:space="0" w:color="auto"/>
            <w:bottom w:val="none" w:sz="0" w:space="0" w:color="auto"/>
            <w:right w:val="none" w:sz="0" w:space="0" w:color="auto"/>
          </w:divBdr>
        </w:div>
        <w:div w:id="2021806894">
          <w:marLeft w:val="300"/>
          <w:marRight w:val="0"/>
          <w:marTop w:val="0"/>
          <w:marBottom w:val="0"/>
          <w:divBdr>
            <w:top w:val="none" w:sz="0" w:space="0" w:color="auto"/>
            <w:left w:val="none" w:sz="0" w:space="0" w:color="auto"/>
            <w:bottom w:val="none" w:sz="0" w:space="0" w:color="auto"/>
            <w:right w:val="none" w:sz="0" w:space="0" w:color="auto"/>
          </w:divBdr>
        </w:div>
      </w:divsChild>
    </w:div>
    <w:div w:id="1078861757">
      <w:bodyDiv w:val="1"/>
      <w:marLeft w:val="0"/>
      <w:marRight w:val="0"/>
      <w:marTop w:val="0"/>
      <w:marBottom w:val="0"/>
      <w:divBdr>
        <w:top w:val="none" w:sz="0" w:space="0" w:color="auto"/>
        <w:left w:val="none" w:sz="0" w:space="0" w:color="auto"/>
        <w:bottom w:val="none" w:sz="0" w:space="0" w:color="auto"/>
        <w:right w:val="none" w:sz="0" w:space="0" w:color="auto"/>
      </w:divBdr>
    </w:div>
    <w:div w:id="1102870647">
      <w:bodyDiv w:val="1"/>
      <w:marLeft w:val="0"/>
      <w:marRight w:val="0"/>
      <w:marTop w:val="0"/>
      <w:marBottom w:val="0"/>
      <w:divBdr>
        <w:top w:val="none" w:sz="0" w:space="0" w:color="auto"/>
        <w:left w:val="none" w:sz="0" w:space="0" w:color="auto"/>
        <w:bottom w:val="none" w:sz="0" w:space="0" w:color="auto"/>
        <w:right w:val="none" w:sz="0" w:space="0" w:color="auto"/>
      </w:divBdr>
    </w:div>
    <w:div w:id="1104879250">
      <w:bodyDiv w:val="1"/>
      <w:marLeft w:val="0"/>
      <w:marRight w:val="0"/>
      <w:marTop w:val="0"/>
      <w:marBottom w:val="0"/>
      <w:divBdr>
        <w:top w:val="none" w:sz="0" w:space="0" w:color="auto"/>
        <w:left w:val="none" w:sz="0" w:space="0" w:color="auto"/>
        <w:bottom w:val="none" w:sz="0" w:space="0" w:color="auto"/>
        <w:right w:val="none" w:sz="0" w:space="0" w:color="auto"/>
      </w:divBdr>
    </w:div>
    <w:div w:id="1157116511">
      <w:bodyDiv w:val="1"/>
      <w:marLeft w:val="0"/>
      <w:marRight w:val="0"/>
      <w:marTop w:val="0"/>
      <w:marBottom w:val="0"/>
      <w:divBdr>
        <w:top w:val="none" w:sz="0" w:space="0" w:color="auto"/>
        <w:left w:val="none" w:sz="0" w:space="0" w:color="auto"/>
        <w:bottom w:val="none" w:sz="0" w:space="0" w:color="auto"/>
        <w:right w:val="none" w:sz="0" w:space="0" w:color="auto"/>
      </w:divBdr>
    </w:div>
    <w:div w:id="1244074022">
      <w:bodyDiv w:val="1"/>
      <w:marLeft w:val="0"/>
      <w:marRight w:val="0"/>
      <w:marTop w:val="0"/>
      <w:marBottom w:val="0"/>
      <w:divBdr>
        <w:top w:val="none" w:sz="0" w:space="0" w:color="auto"/>
        <w:left w:val="none" w:sz="0" w:space="0" w:color="auto"/>
        <w:bottom w:val="none" w:sz="0" w:space="0" w:color="auto"/>
        <w:right w:val="none" w:sz="0" w:space="0" w:color="auto"/>
      </w:divBdr>
    </w:div>
    <w:div w:id="1301573663">
      <w:bodyDiv w:val="1"/>
      <w:marLeft w:val="0"/>
      <w:marRight w:val="0"/>
      <w:marTop w:val="0"/>
      <w:marBottom w:val="0"/>
      <w:divBdr>
        <w:top w:val="none" w:sz="0" w:space="0" w:color="auto"/>
        <w:left w:val="none" w:sz="0" w:space="0" w:color="auto"/>
        <w:bottom w:val="none" w:sz="0" w:space="0" w:color="auto"/>
        <w:right w:val="none" w:sz="0" w:space="0" w:color="auto"/>
      </w:divBdr>
    </w:div>
    <w:div w:id="1458060700">
      <w:bodyDiv w:val="1"/>
      <w:marLeft w:val="0"/>
      <w:marRight w:val="0"/>
      <w:marTop w:val="0"/>
      <w:marBottom w:val="0"/>
      <w:divBdr>
        <w:top w:val="none" w:sz="0" w:space="0" w:color="auto"/>
        <w:left w:val="none" w:sz="0" w:space="0" w:color="auto"/>
        <w:bottom w:val="none" w:sz="0" w:space="0" w:color="auto"/>
        <w:right w:val="none" w:sz="0" w:space="0" w:color="auto"/>
      </w:divBdr>
    </w:div>
    <w:div w:id="1629125229">
      <w:bodyDiv w:val="1"/>
      <w:marLeft w:val="165"/>
      <w:marRight w:val="165"/>
      <w:marTop w:val="165"/>
      <w:marBottom w:val="165"/>
      <w:divBdr>
        <w:top w:val="none" w:sz="0" w:space="0" w:color="auto"/>
        <w:left w:val="none" w:sz="0" w:space="0" w:color="auto"/>
        <w:bottom w:val="none" w:sz="0" w:space="0" w:color="auto"/>
        <w:right w:val="none" w:sz="0" w:space="0" w:color="auto"/>
      </w:divBdr>
      <w:divsChild>
        <w:div w:id="1537042842">
          <w:marLeft w:val="0"/>
          <w:marRight w:val="0"/>
          <w:marTop w:val="0"/>
          <w:marBottom w:val="0"/>
          <w:divBdr>
            <w:top w:val="none" w:sz="0" w:space="0" w:color="auto"/>
            <w:left w:val="none" w:sz="0" w:space="0" w:color="auto"/>
            <w:bottom w:val="none" w:sz="0" w:space="0" w:color="auto"/>
            <w:right w:val="none" w:sz="0" w:space="0" w:color="auto"/>
          </w:divBdr>
          <w:divsChild>
            <w:div w:id="46270450">
              <w:marLeft w:val="0"/>
              <w:marRight w:val="0"/>
              <w:marTop w:val="0"/>
              <w:marBottom w:val="0"/>
              <w:divBdr>
                <w:top w:val="none" w:sz="0" w:space="0" w:color="auto"/>
                <w:left w:val="none" w:sz="0" w:space="0" w:color="auto"/>
                <w:bottom w:val="none" w:sz="0" w:space="0" w:color="auto"/>
                <w:right w:val="none" w:sz="0" w:space="0" w:color="auto"/>
              </w:divBdr>
              <w:divsChild>
                <w:div w:id="1579443707">
                  <w:marLeft w:val="0"/>
                  <w:marRight w:val="0"/>
                  <w:marTop w:val="0"/>
                  <w:marBottom w:val="0"/>
                  <w:divBdr>
                    <w:top w:val="none" w:sz="0" w:space="0" w:color="auto"/>
                    <w:left w:val="none" w:sz="0" w:space="0" w:color="auto"/>
                    <w:bottom w:val="none" w:sz="0" w:space="0" w:color="auto"/>
                    <w:right w:val="none" w:sz="0" w:space="0" w:color="auto"/>
                  </w:divBdr>
                  <w:divsChild>
                    <w:div w:id="1015883024">
                      <w:marLeft w:val="0"/>
                      <w:marRight w:val="225"/>
                      <w:marTop w:val="0"/>
                      <w:marBottom w:val="0"/>
                      <w:divBdr>
                        <w:top w:val="none" w:sz="0" w:space="0" w:color="auto"/>
                        <w:left w:val="none" w:sz="0" w:space="0" w:color="auto"/>
                        <w:bottom w:val="none" w:sz="0" w:space="0" w:color="auto"/>
                        <w:right w:val="none" w:sz="0" w:space="0" w:color="auto"/>
                      </w:divBdr>
                      <w:divsChild>
                        <w:div w:id="9419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060217">
      <w:bodyDiv w:val="1"/>
      <w:marLeft w:val="0"/>
      <w:marRight w:val="0"/>
      <w:marTop w:val="0"/>
      <w:marBottom w:val="0"/>
      <w:divBdr>
        <w:top w:val="none" w:sz="0" w:space="0" w:color="auto"/>
        <w:left w:val="none" w:sz="0" w:space="0" w:color="auto"/>
        <w:bottom w:val="none" w:sz="0" w:space="0" w:color="auto"/>
        <w:right w:val="none" w:sz="0" w:space="0" w:color="auto"/>
      </w:divBdr>
    </w:div>
    <w:div w:id="1679845390">
      <w:bodyDiv w:val="1"/>
      <w:marLeft w:val="0"/>
      <w:marRight w:val="0"/>
      <w:marTop w:val="0"/>
      <w:marBottom w:val="0"/>
      <w:divBdr>
        <w:top w:val="none" w:sz="0" w:space="0" w:color="auto"/>
        <w:left w:val="none" w:sz="0" w:space="0" w:color="auto"/>
        <w:bottom w:val="none" w:sz="0" w:space="0" w:color="auto"/>
        <w:right w:val="none" w:sz="0" w:space="0" w:color="auto"/>
      </w:divBdr>
    </w:div>
    <w:div w:id="1754737706">
      <w:bodyDiv w:val="1"/>
      <w:marLeft w:val="0"/>
      <w:marRight w:val="0"/>
      <w:marTop w:val="0"/>
      <w:marBottom w:val="0"/>
      <w:divBdr>
        <w:top w:val="none" w:sz="0" w:space="0" w:color="auto"/>
        <w:left w:val="none" w:sz="0" w:space="0" w:color="auto"/>
        <w:bottom w:val="none" w:sz="0" w:space="0" w:color="auto"/>
        <w:right w:val="none" w:sz="0" w:space="0" w:color="auto"/>
      </w:divBdr>
    </w:div>
    <w:div w:id="1774326355">
      <w:bodyDiv w:val="1"/>
      <w:marLeft w:val="0"/>
      <w:marRight w:val="0"/>
      <w:marTop w:val="0"/>
      <w:marBottom w:val="0"/>
      <w:divBdr>
        <w:top w:val="none" w:sz="0" w:space="0" w:color="auto"/>
        <w:left w:val="none" w:sz="0" w:space="0" w:color="auto"/>
        <w:bottom w:val="none" w:sz="0" w:space="0" w:color="auto"/>
        <w:right w:val="none" w:sz="0" w:space="0" w:color="auto"/>
      </w:divBdr>
      <w:divsChild>
        <w:div w:id="1222327620">
          <w:marLeft w:val="0"/>
          <w:marRight w:val="0"/>
          <w:marTop w:val="0"/>
          <w:marBottom w:val="0"/>
          <w:divBdr>
            <w:top w:val="none" w:sz="0" w:space="0" w:color="auto"/>
            <w:left w:val="none" w:sz="0" w:space="0" w:color="auto"/>
            <w:bottom w:val="none" w:sz="0" w:space="0" w:color="auto"/>
            <w:right w:val="none" w:sz="0" w:space="0" w:color="auto"/>
          </w:divBdr>
          <w:divsChild>
            <w:div w:id="709690046">
              <w:marLeft w:val="0"/>
              <w:marRight w:val="0"/>
              <w:marTop w:val="0"/>
              <w:marBottom w:val="0"/>
              <w:divBdr>
                <w:top w:val="none" w:sz="0" w:space="0" w:color="auto"/>
                <w:left w:val="none" w:sz="0" w:space="0" w:color="auto"/>
                <w:bottom w:val="none" w:sz="0" w:space="0" w:color="auto"/>
                <w:right w:val="none" w:sz="0" w:space="0" w:color="auto"/>
              </w:divBdr>
              <w:divsChild>
                <w:div w:id="65838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347262">
      <w:bodyDiv w:val="1"/>
      <w:marLeft w:val="0"/>
      <w:marRight w:val="0"/>
      <w:marTop w:val="0"/>
      <w:marBottom w:val="0"/>
      <w:divBdr>
        <w:top w:val="none" w:sz="0" w:space="0" w:color="auto"/>
        <w:left w:val="none" w:sz="0" w:space="0" w:color="auto"/>
        <w:bottom w:val="none" w:sz="0" w:space="0" w:color="auto"/>
        <w:right w:val="none" w:sz="0" w:space="0" w:color="auto"/>
      </w:divBdr>
    </w:div>
    <w:div w:id="213359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1EEB0-258C-4C54-BEF6-B68C8A1BE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998</Words>
  <Characters>5994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krzysztof.wisniewski</dc:creator>
  <cp:lastModifiedBy>Hołubicki Rafał</cp:lastModifiedBy>
  <cp:revision>2</cp:revision>
  <cp:lastPrinted>2018-03-20T07:51:00Z</cp:lastPrinted>
  <dcterms:created xsi:type="dcterms:W3CDTF">2018-03-22T09:54:00Z</dcterms:created>
  <dcterms:modified xsi:type="dcterms:W3CDTF">2018-03-22T09:54:00Z</dcterms:modified>
</cp:coreProperties>
</file>