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36" w:rsidRPr="00C76CFA" w:rsidRDefault="002873F6" w:rsidP="00743089">
      <w:pPr>
        <w:spacing w:line="360" w:lineRule="auto"/>
        <w:jc w:val="center"/>
        <w:rPr>
          <w:rFonts w:ascii="Arial" w:hAnsi="Arial" w:cs="Arial"/>
          <w:b/>
          <w:spacing w:val="-6"/>
          <w:sz w:val="24"/>
          <w:szCs w:val="24"/>
        </w:rPr>
      </w:pPr>
      <w:r w:rsidRPr="00C76CFA">
        <w:rPr>
          <w:rFonts w:ascii="Arial" w:hAnsi="Arial" w:cs="Arial"/>
          <w:b/>
          <w:spacing w:val="-6"/>
          <w:sz w:val="24"/>
          <w:szCs w:val="24"/>
        </w:rPr>
        <w:t>Uzasadnienie</w:t>
      </w:r>
    </w:p>
    <w:p w:rsidR="00D933B9" w:rsidRPr="00C76CFA" w:rsidRDefault="001F43EB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Z</w:t>
      </w:r>
      <w:r w:rsidR="00743089" w:rsidRPr="00C76CFA">
        <w:rPr>
          <w:rFonts w:ascii="Arial" w:hAnsi="Arial" w:cs="Arial"/>
          <w:spacing w:val="-6"/>
          <w:sz w:val="24"/>
          <w:szCs w:val="24"/>
        </w:rPr>
        <w:t xml:space="preserve">arządzenie </w:t>
      </w:r>
      <w:r w:rsidR="006C083B" w:rsidRPr="00C76CFA">
        <w:rPr>
          <w:rFonts w:ascii="Arial" w:hAnsi="Arial" w:cs="Arial"/>
          <w:spacing w:val="-6"/>
          <w:sz w:val="24"/>
          <w:szCs w:val="24"/>
        </w:rPr>
        <w:t>stanowi wykonanie</w:t>
      </w:r>
      <w:r w:rsidR="00D933B9" w:rsidRPr="00C76CFA">
        <w:rPr>
          <w:rFonts w:ascii="Arial" w:hAnsi="Arial" w:cs="Arial"/>
          <w:spacing w:val="-6"/>
          <w:sz w:val="24"/>
          <w:szCs w:val="24"/>
        </w:rPr>
        <w:t xml:space="preserve"> upoważnienia </w:t>
      </w:r>
      <w:r w:rsidR="006C083B" w:rsidRPr="00C76CFA">
        <w:rPr>
          <w:rFonts w:ascii="Arial" w:hAnsi="Arial" w:cs="Arial"/>
          <w:spacing w:val="-6"/>
          <w:sz w:val="24"/>
          <w:szCs w:val="24"/>
        </w:rPr>
        <w:t xml:space="preserve">ustawowego </w:t>
      </w:r>
      <w:r w:rsidR="00D933B9" w:rsidRPr="00C76CFA">
        <w:rPr>
          <w:rFonts w:ascii="Arial" w:hAnsi="Arial" w:cs="Arial"/>
          <w:spacing w:val="-6"/>
          <w:sz w:val="24"/>
          <w:szCs w:val="24"/>
        </w:rPr>
        <w:t>zawartego w art. 146 ust. 1 ustawy z dnia 27 sierpnia 2004 r. o świadczeniach opieki zdrowotnej finansowanych ze środków publicznych</w:t>
      </w:r>
      <w:r w:rsidR="006C083B" w:rsidRPr="00C76CFA">
        <w:rPr>
          <w:rFonts w:ascii="Arial" w:hAnsi="Arial" w:cs="Arial"/>
          <w:spacing w:val="-6"/>
          <w:sz w:val="24"/>
          <w:szCs w:val="24"/>
        </w:rPr>
        <w:t xml:space="preserve"> (Dz. U. z 2016 r. poz. 1793</w:t>
      </w:r>
      <w:r w:rsidR="000252CA" w:rsidRPr="00C76CFA">
        <w:rPr>
          <w:rFonts w:ascii="Arial" w:hAnsi="Arial" w:cs="Arial"/>
          <w:spacing w:val="-6"/>
          <w:sz w:val="24"/>
          <w:szCs w:val="24"/>
        </w:rPr>
        <w:t>,</w:t>
      </w:r>
      <w:r w:rsidR="00D20108" w:rsidRPr="00C76CFA">
        <w:rPr>
          <w:rFonts w:ascii="Arial" w:hAnsi="Arial" w:cs="Arial"/>
          <w:spacing w:val="-6"/>
          <w:sz w:val="24"/>
          <w:szCs w:val="24"/>
        </w:rPr>
        <w:t xml:space="preserve"> z</w:t>
      </w:r>
      <w:r w:rsidR="000252CA" w:rsidRPr="00C76CFA">
        <w:rPr>
          <w:rFonts w:ascii="Arial" w:hAnsi="Arial" w:cs="Arial"/>
          <w:spacing w:val="-6"/>
          <w:sz w:val="24"/>
          <w:szCs w:val="24"/>
        </w:rPr>
        <w:t xml:space="preserve"> późn.</w:t>
      </w:r>
      <w:r w:rsidR="00D20108" w:rsidRPr="00C76CFA">
        <w:rPr>
          <w:rFonts w:ascii="Arial" w:hAnsi="Arial" w:cs="Arial"/>
          <w:spacing w:val="-6"/>
          <w:sz w:val="24"/>
          <w:szCs w:val="24"/>
        </w:rPr>
        <w:t xml:space="preserve"> zm.), zwanej dalej „ustawą o świadczeniach”.</w:t>
      </w:r>
    </w:p>
    <w:p w:rsidR="00966EE6" w:rsidRPr="00C76CFA" w:rsidRDefault="00CD40E5" w:rsidP="00A76531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Zmiany wprowadzo</w:t>
      </w:r>
      <w:r w:rsidR="00D933B9" w:rsidRPr="00C76CFA">
        <w:rPr>
          <w:rFonts w:ascii="Arial" w:hAnsi="Arial" w:cs="Arial"/>
          <w:spacing w:val="-6"/>
          <w:sz w:val="24"/>
          <w:szCs w:val="24"/>
        </w:rPr>
        <w:t xml:space="preserve">ne </w:t>
      </w:r>
      <w:r w:rsidR="00267944" w:rsidRPr="00C76CFA">
        <w:rPr>
          <w:rFonts w:ascii="Arial" w:hAnsi="Arial" w:cs="Arial"/>
          <w:spacing w:val="-6"/>
          <w:sz w:val="24"/>
          <w:szCs w:val="24"/>
        </w:rPr>
        <w:t xml:space="preserve">niniejszym zarządzeniem, zmieniającym </w:t>
      </w:r>
      <w:r w:rsidR="00267944" w:rsidRPr="00C76CFA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 w:rsidR="00267944" w:rsidRPr="00C76CFA">
        <w:rPr>
          <w:rFonts w:ascii="Arial" w:hAnsi="Arial" w:cs="Arial"/>
          <w:spacing w:val="-6"/>
          <w:sz w:val="24"/>
          <w:szCs w:val="24"/>
        </w:rPr>
        <w:t>Nr 71/2016/DSOZ Prezesa NFZ z dnia 30 czerwca 2016 r.</w:t>
      </w:r>
      <w:r w:rsidR="00267944" w:rsidRPr="00C76CFA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="00267944" w:rsidRPr="00C76CFA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 xml:space="preserve">w sprawie </w:t>
      </w:r>
      <w:r w:rsidR="00267944" w:rsidRPr="00C76CFA">
        <w:rPr>
          <w:rFonts w:ascii="Arial" w:eastAsia="Times New Roman" w:hAnsi="Arial" w:cs="Arial"/>
          <w:spacing w:val="-6"/>
          <w:kern w:val="32"/>
          <w:sz w:val="24"/>
          <w:szCs w:val="24"/>
          <w:lang w:eastAsia="pl-PL"/>
        </w:rPr>
        <w:t xml:space="preserve">określenia warunków zawierania i realizacji umów w rodzaju </w:t>
      </w:r>
      <w:r w:rsidR="002F5F0A" w:rsidRPr="00C76CFA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>leczenie szpitalne</w:t>
      </w:r>
      <w:r w:rsidR="006D6F36" w:rsidRPr="00C76CFA">
        <w:rPr>
          <w:rFonts w:ascii="Arial" w:hAnsi="Arial" w:cs="Arial"/>
          <w:spacing w:val="-6"/>
          <w:sz w:val="24"/>
          <w:szCs w:val="24"/>
        </w:rPr>
        <w:t xml:space="preserve">, </w:t>
      </w:r>
      <w:r w:rsidR="00966EE6" w:rsidRPr="00C76CFA">
        <w:rPr>
          <w:rFonts w:ascii="Arial" w:hAnsi="Arial" w:cs="Arial"/>
          <w:spacing w:val="-6"/>
          <w:sz w:val="24"/>
          <w:szCs w:val="24"/>
        </w:rPr>
        <w:t>polegają na implementacji w katalogu grup, katalogu produktów odrębnych i katalogu</w:t>
      </w:r>
      <w:r w:rsidR="00A76531" w:rsidRPr="00C76CFA">
        <w:rPr>
          <w:rFonts w:ascii="Arial" w:hAnsi="Arial" w:cs="Arial"/>
          <w:spacing w:val="-6"/>
          <w:sz w:val="24"/>
          <w:szCs w:val="24"/>
        </w:rPr>
        <w:t xml:space="preserve"> produktów do </w:t>
      </w:r>
      <w:r w:rsidR="00966EE6" w:rsidRPr="00C76CFA">
        <w:rPr>
          <w:rFonts w:ascii="Arial" w:hAnsi="Arial" w:cs="Arial"/>
          <w:spacing w:val="-6"/>
          <w:sz w:val="24"/>
          <w:szCs w:val="24"/>
        </w:rPr>
        <w:t>sumowania</w:t>
      </w:r>
      <w:r w:rsidR="00A76531" w:rsidRPr="00C76CFA">
        <w:rPr>
          <w:rFonts w:ascii="Arial" w:hAnsi="Arial" w:cs="Arial"/>
          <w:spacing w:val="-6"/>
          <w:sz w:val="24"/>
          <w:szCs w:val="24"/>
        </w:rPr>
        <w:t>, stanowiących</w:t>
      </w:r>
      <w:r w:rsidR="00966EE6" w:rsidRPr="00C76CFA">
        <w:rPr>
          <w:rFonts w:ascii="Arial" w:hAnsi="Arial" w:cs="Arial"/>
          <w:spacing w:val="-6"/>
          <w:sz w:val="24"/>
          <w:szCs w:val="24"/>
        </w:rPr>
        <w:t xml:space="preserve"> odpowiednio załączniki nr 1, 2 i 3 do zarządzenia, nowych </w:t>
      </w:r>
      <w:r w:rsidR="007E72F6" w:rsidRPr="00C76CFA">
        <w:rPr>
          <w:rFonts w:ascii="Arial" w:hAnsi="Arial" w:cs="Arial"/>
          <w:spacing w:val="-6"/>
          <w:sz w:val="24"/>
          <w:szCs w:val="24"/>
        </w:rPr>
        <w:t xml:space="preserve">produktów rozliczeniowych </w:t>
      </w:r>
      <w:r w:rsidR="00966EE6" w:rsidRPr="00C76CFA">
        <w:rPr>
          <w:rFonts w:ascii="Arial" w:hAnsi="Arial" w:cs="Arial"/>
          <w:spacing w:val="-6"/>
          <w:sz w:val="24"/>
          <w:szCs w:val="24"/>
        </w:rPr>
        <w:t>w p</w:t>
      </w:r>
      <w:r w:rsidR="00A147D5" w:rsidRPr="00C76CFA">
        <w:rPr>
          <w:rFonts w:ascii="Arial" w:hAnsi="Arial" w:cs="Arial"/>
          <w:spacing w:val="-6"/>
          <w:sz w:val="24"/>
          <w:szCs w:val="24"/>
        </w:rPr>
        <w:t xml:space="preserve">rzypadku niektórych świadczeń. </w:t>
      </w:r>
      <w:r w:rsidR="00966EE6" w:rsidRPr="00C76CFA">
        <w:rPr>
          <w:rFonts w:ascii="Arial" w:hAnsi="Arial" w:cs="Arial"/>
          <w:spacing w:val="-6"/>
          <w:sz w:val="24"/>
          <w:szCs w:val="24"/>
        </w:rPr>
        <w:t xml:space="preserve">Stanowi to wprowadzenie </w:t>
      </w:r>
      <w:r w:rsidR="000252CA" w:rsidRPr="00C76CFA">
        <w:rPr>
          <w:rFonts w:ascii="Arial" w:hAnsi="Arial" w:cs="Arial"/>
          <w:spacing w:val="-6"/>
          <w:sz w:val="24"/>
          <w:szCs w:val="24"/>
        </w:rPr>
        <w:t xml:space="preserve">do stosowania postanowień określonych w obwieszczeniach </w:t>
      </w:r>
      <w:r w:rsidR="00966EE6" w:rsidRPr="00C76CFA">
        <w:rPr>
          <w:rFonts w:ascii="Arial" w:hAnsi="Arial" w:cs="Arial"/>
          <w:spacing w:val="-6"/>
          <w:sz w:val="24"/>
          <w:szCs w:val="24"/>
        </w:rPr>
        <w:t xml:space="preserve"> Prezesa Agencji Technologii </w:t>
      </w:r>
      <w:r w:rsidR="007E72F6" w:rsidRPr="00C76CFA">
        <w:rPr>
          <w:rFonts w:ascii="Arial" w:hAnsi="Arial" w:cs="Arial"/>
          <w:spacing w:val="-6"/>
          <w:sz w:val="24"/>
          <w:szCs w:val="24"/>
        </w:rPr>
        <w:t>Medycznych i Taryfikacji z </w:t>
      </w:r>
      <w:r w:rsidR="00966EE6" w:rsidRPr="00C76CFA">
        <w:rPr>
          <w:rFonts w:ascii="Arial" w:hAnsi="Arial" w:cs="Arial"/>
          <w:spacing w:val="-6"/>
          <w:sz w:val="24"/>
          <w:szCs w:val="24"/>
        </w:rPr>
        <w:t>dnia 30 grudnia 2016 r. i 30 czerwca br</w:t>
      </w:r>
      <w:r w:rsidR="00A147D5" w:rsidRPr="00C76CFA">
        <w:rPr>
          <w:rFonts w:ascii="Arial" w:hAnsi="Arial" w:cs="Arial"/>
          <w:spacing w:val="-6"/>
          <w:sz w:val="24"/>
          <w:szCs w:val="24"/>
        </w:rPr>
        <w:t>.</w:t>
      </w:r>
      <w:r w:rsidR="00966EE6" w:rsidRPr="00C76CFA">
        <w:rPr>
          <w:rFonts w:ascii="Arial" w:hAnsi="Arial" w:cs="Arial"/>
          <w:spacing w:val="-6"/>
          <w:sz w:val="24"/>
          <w:szCs w:val="24"/>
        </w:rPr>
        <w:t xml:space="preserve"> w sprawie t</w:t>
      </w:r>
      <w:r w:rsidR="007E72F6" w:rsidRPr="00C76CFA">
        <w:rPr>
          <w:rFonts w:ascii="Arial" w:hAnsi="Arial" w:cs="Arial"/>
          <w:spacing w:val="-6"/>
          <w:sz w:val="24"/>
          <w:szCs w:val="24"/>
        </w:rPr>
        <w:t>aryf świadczeń gwarantowanych z </w:t>
      </w:r>
      <w:r w:rsidR="00966EE6" w:rsidRPr="00C76CFA">
        <w:rPr>
          <w:rFonts w:ascii="Arial" w:hAnsi="Arial" w:cs="Arial"/>
          <w:spacing w:val="-6"/>
          <w:sz w:val="24"/>
          <w:szCs w:val="24"/>
        </w:rPr>
        <w:t xml:space="preserve">zakresu </w:t>
      </w:r>
      <w:r w:rsidR="007E72F6" w:rsidRPr="00C76CFA">
        <w:rPr>
          <w:rFonts w:ascii="Arial" w:hAnsi="Arial" w:cs="Arial"/>
          <w:spacing w:val="-6"/>
          <w:sz w:val="24"/>
          <w:szCs w:val="24"/>
        </w:rPr>
        <w:t>leczenia szpitalnego</w:t>
      </w:r>
      <w:r w:rsidR="00966EE6" w:rsidRPr="00C76CFA">
        <w:rPr>
          <w:rFonts w:ascii="Arial" w:hAnsi="Arial" w:cs="Arial"/>
          <w:spacing w:val="-6"/>
          <w:sz w:val="24"/>
          <w:szCs w:val="24"/>
        </w:rPr>
        <w:t>, do czego zobowiązują Prezesa NFZ przepisy art. 146 znowelizowanej ustawy o świadczeniach.</w:t>
      </w:r>
    </w:p>
    <w:p w:rsidR="007E72F6" w:rsidRPr="00C76CFA" w:rsidRDefault="007E72F6" w:rsidP="00A147D5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Nowe produkty rozliczeniowe</w:t>
      </w:r>
      <w:r w:rsidR="00A76531" w:rsidRPr="00C76CFA">
        <w:rPr>
          <w:rFonts w:ascii="Arial" w:hAnsi="Arial" w:cs="Arial"/>
          <w:spacing w:val="-6"/>
          <w:sz w:val="24"/>
          <w:szCs w:val="24"/>
        </w:rPr>
        <w:t xml:space="preserve"> wprowadzone </w:t>
      </w:r>
      <w:r w:rsidRPr="00C76CFA">
        <w:rPr>
          <w:rFonts w:ascii="Arial" w:hAnsi="Arial" w:cs="Arial"/>
          <w:spacing w:val="-6"/>
          <w:sz w:val="24"/>
          <w:szCs w:val="24"/>
        </w:rPr>
        <w:t>w zakresie kardio</w:t>
      </w:r>
      <w:r w:rsidR="00D11EF4" w:rsidRPr="00C76CFA">
        <w:rPr>
          <w:rFonts w:ascii="Arial" w:hAnsi="Arial" w:cs="Arial"/>
          <w:spacing w:val="-6"/>
          <w:sz w:val="24"/>
          <w:szCs w:val="24"/>
        </w:rPr>
        <w:t xml:space="preserve">logia, hematologia, onkologia i 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hematologia dziecięca, uwzględniające rozpoznania i procedury medyczne zarekomendowane przez Radę </w:t>
      </w:r>
      <w:r w:rsidR="001A5F9B" w:rsidRPr="00C76CFA">
        <w:rPr>
          <w:rFonts w:ascii="Arial" w:hAnsi="Arial" w:cs="Arial"/>
          <w:spacing w:val="-6"/>
          <w:sz w:val="24"/>
          <w:szCs w:val="24"/>
        </w:rPr>
        <w:t>ds. Taryfikacji i Prezesa AOTMi</w:t>
      </w:r>
      <w:r w:rsidRPr="00C76CFA">
        <w:rPr>
          <w:rFonts w:ascii="Arial" w:hAnsi="Arial" w:cs="Arial"/>
          <w:spacing w:val="-6"/>
          <w:sz w:val="24"/>
          <w:szCs w:val="24"/>
        </w:rPr>
        <w:t>T, zostały przygotowane zgodnie z nazwą świadczenia jednostkowego i taryfą opublikowaną w załączniku do </w:t>
      </w:r>
      <w:r w:rsidR="000252CA" w:rsidRPr="00C76CFA">
        <w:rPr>
          <w:rFonts w:ascii="Arial" w:hAnsi="Arial" w:cs="Arial"/>
          <w:spacing w:val="-6"/>
          <w:sz w:val="24"/>
          <w:szCs w:val="24"/>
        </w:rPr>
        <w:t>o</w:t>
      </w:r>
      <w:r w:rsidRPr="00C76CFA">
        <w:rPr>
          <w:rFonts w:ascii="Arial" w:hAnsi="Arial" w:cs="Arial"/>
          <w:spacing w:val="-6"/>
          <w:sz w:val="24"/>
          <w:szCs w:val="24"/>
        </w:rPr>
        <w:t>bwieszczenia Prezesa Agencji Oceny Technologii Medycznej i Taryfikacji z dnia 30 grudnia 2016 r. i 30 czerwca 2017 r.</w:t>
      </w:r>
    </w:p>
    <w:p w:rsidR="00B75EF3" w:rsidRPr="00C76CFA" w:rsidRDefault="002317A5" w:rsidP="007E72F6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Dodatkowo</w:t>
      </w:r>
      <w:r w:rsidR="000252CA" w:rsidRPr="00C76CFA">
        <w:rPr>
          <w:rFonts w:ascii="Arial" w:hAnsi="Arial" w:cs="Arial"/>
          <w:spacing w:val="-6"/>
          <w:sz w:val="24"/>
          <w:szCs w:val="24"/>
        </w:rPr>
        <w:t>,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 w </w:t>
      </w:r>
      <w:r w:rsidR="00167168" w:rsidRPr="00C76CFA">
        <w:rPr>
          <w:rFonts w:ascii="Arial" w:hAnsi="Arial" w:cs="Arial"/>
          <w:spacing w:val="-6"/>
          <w:sz w:val="24"/>
          <w:szCs w:val="24"/>
        </w:rPr>
        <w:t>zarządzeniu wprowadzono następujące modyfikacje:</w:t>
      </w:r>
    </w:p>
    <w:p w:rsidR="00B75EF3" w:rsidRPr="00C76CFA" w:rsidRDefault="00227BEA" w:rsidP="001537EC">
      <w:pPr>
        <w:pStyle w:val="Akapitzlist"/>
        <w:numPr>
          <w:ilvl w:val="0"/>
          <w:numId w:val="22"/>
        </w:numPr>
        <w:tabs>
          <w:tab w:val="left" w:pos="993"/>
        </w:tabs>
        <w:spacing w:after="60" w:line="360" w:lineRule="auto"/>
        <w:ind w:left="567" w:hanging="425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</w:t>
      </w:r>
      <w:r w:rsidR="00B75EF3" w:rsidRPr="00C76CFA">
        <w:rPr>
          <w:rFonts w:ascii="Arial" w:hAnsi="Arial" w:cs="Arial"/>
          <w:spacing w:val="-6"/>
          <w:sz w:val="24"/>
          <w:szCs w:val="24"/>
        </w:rPr>
        <w:t xml:space="preserve"> związku z wyodrębnieniem produktów jednostkowych dedykowanych </w:t>
      </w:r>
      <w:r w:rsidR="007E72F6" w:rsidRPr="00C76CFA">
        <w:rPr>
          <w:rFonts w:ascii="Arial" w:hAnsi="Arial" w:cs="Arial"/>
          <w:spacing w:val="-6"/>
          <w:sz w:val="24"/>
          <w:szCs w:val="24"/>
        </w:rPr>
        <w:t>do </w:t>
      </w:r>
      <w:r w:rsidR="00B75EF3" w:rsidRPr="00C76CFA">
        <w:rPr>
          <w:rFonts w:ascii="Arial" w:hAnsi="Arial" w:cs="Arial"/>
          <w:spacing w:val="-6"/>
          <w:sz w:val="24"/>
          <w:szCs w:val="24"/>
        </w:rPr>
        <w:t>rozliczania świadczeń udzielanych w OAiIT do odrębnego katalogu,</w:t>
      </w:r>
      <w:r w:rsidR="007E72F6" w:rsidRPr="00C76CFA">
        <w:rPr>
          <w:rFonts w:ascii="Arial" w:hAnsi="Arial" w:cs="Arial"/>
          <w:spacing w:val="-6"/>
          <w:sz w:val="24"/>
          <w:szCs w:val="24"/>
        </w:rPr>
        <w:t xml:space="preserve"> stanowiącego załącznik nr 1ts do zarządzenia,</w:t>
      </w:r>
      <w:r w:rsidR="00B75EF3" w:rsidRPr="00C76CFA">
        <w:rPr>
          <w:rFonts w:ascii="Arial" w:hAnsi="Arial" w:cs="Arial"/>
          <w:spacing w:val="-6"/>
          <w:sz w:val="24"/>
          <w:szCs w:val="24"/>
        </w:rPr>
        <w:t xml:space="preserve"> w części normatywnej zarządzenia zmodyfikowano przepisy odnoszące się do finansowania przedmiotowych świadcze</w:t>
      </w:r>
      <w:r w:rsidR="001537EC" w:rsidRPr="00C76CFA">
        <w:rPr>
          <w:rFonts w:ascii="Arial" w:hAnsi="Arial" w:cs="Arial"/>
          <w:spacing w:val="-6"/>
          <w:sz w:val="24"/>
          <w:szCs w:val="24"/>
        </w:rPr>
        <w:t>ń w ramach produktów z tego katalogu, aby były spójne z treścią</w:t>
      </w:r>
      <w:r w:rsidR="001537EC" w:rsidRPr="00C76CFA">
        <w:rPr>
          <w:spacing w:val="-6"/>
        </w:rPr>
        <w:t xml:space="preserve"> </w:t>
      </w:r>
      <w:r w:rsidR="001537EC" w:rsidRPr="00C76CFA">
        <w:rPr>
          <w:rFonts w:ascii="Arial" w:hAnsi="Arial" w:cs="Arial"/>
          <w:spacing w:val="-6"/>
          <w:sz w:val="24"/>
          <w:szCs w:val="24"/>
        </w:rPr>
        <w:t>załącznika nr 1ts</w:t>
      </w:r>
      <w:r w:rsidR="00B75EF3" w:rsidRPr="00C76CFA">
        <w:rPr>
          <w:rFonts w:ascii="Arial" w:hAnsi="Arial" w:cs="Arial"/>
          <w:spacing w:val="-6"/>
          <w:sz w:val="24"/>
          <w:szCs w:val="24"/>
        </w:rPr>
        <w:t>;</w:t>
      </w:r>
    </w:p>
    <w:p w:rsidR="00822F51" w:rsidRPr="00C76CFA" w:rsidRDefault="000F437B" w:rsidP="00822F51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 xml:space="preserve">w </w:t>
      </w:r>
      <w:r w:rsidR="001537EC" w:rsidRPr="00C76CFA">
        <w:rPr>
          <w:rFonts w:ascii="Arial" w:hAnsi="Arial" w:cs="Arial"/>
          <w:spacing w:val="-6"/>
          <w:sz w:val="24"/>
          <w:szCs w:val="24"/>
        </w:rPr>
        <w:t>zakr</w:t>
      </w:r>
      <w:r w:rsidRPr="00C76CFA">
        <w:rPr>
          <w:rFonts w:ascii="Arial" w:hAnsi="Arial" w:cs="Arial"/>
          <w:spacing w:val="-6"/>
          <w:sz w:val="24"/>
          <w:szCs w:val="24"/>
        </w:rPr>
        <w:t>esach</w:t>
      </w:r>
      <w:r w:rsidR="00A76531" w:rsidRPr="00C76CFA">
        <w:rPr>
          <w:rFonts w:ascii="Arial" w:hAnsi="Arial" w:cs="Arial"/>
          <w:spacing w:val="-6"/>
          <w:sz w:val="24"/>
          <w:szCs w:val="24"/>
        </w:rPr>
        <w:t xml:space="preserve"> świadczeń – kardiochirurgia</w:t>
      </w:r>
      <w:r w:rsidR="001537EC" w:rsidRPr="00C76CFA">
        <w:rPr>
          <w:rFonts w:ascii="Arial" w:hAnsi="Arial" w:cs="Arial"/>
          <w:spacing w:val="-6"/>
          <w:sz w:val="24"/>
          <w:szCs w:val="24"/>
        </w:rPr>
        <w:t>, hematologia, onkologia i hematologia dziecięca wprowadzono zakres</w:t>
      </w:r>
      <w:r w:rsidR="00A76531" w:rsidRPr="00C76CFA">
        <w:rPr>
          <w:rFonts w:ascii="Arial" w:hAnsi="Arial" w:cs="Arial"/>
          <w:spacing w:val="-6"/>
          <w:sz w:val="24"/>
          <w:szCs w:val="24"/>
        </w:rPr>
        <w:t>y skojarzone</w:t>
      </w:r>
      <w:r w:rsidR="001537EC" w:rsidRPr="00C76CFA">
        <w:rPr>
          <w:rFonts w:ascii="Arial" w:hAnsi="Arial" w:cs="Arial"/>
          <w:spacing w:val="-6"/>
          <w:sz w:val="24"/>
          <w:szCs w:val="24"/>
        </w:rPr>
        <w:t xml:space="preserve"> dla świadczeń dedykowanych pacjentom leczonym z powodu ostrego zawału serca </w:t>
      </w:r>
      <w:r w:rsidR="00822F51" w:rsidRPr="00C76CFA">
        <w:rPr>
          <w:rFonts w:ascii="Arial" w:hAnsi="Arial" w:cs="Arial"/>
          <w:spacing w:val="-6"/>
          <w:sz w:val="24"/>
          <w:szCs w:val="24"/>
        </w:rPr>
        <w:t>(obejmującego pomostowanie</w:t>
      </w:r>
      <w:r w:rsidR="00A76531" w:rsidRPr="00C76CFA">
        <w:rPr>
          <w:rFonts w:ascii="Arial" w:hAnsi="Arial" w:cs="Arial"/>
          <w:spacing w:val="-6"/>
          <w:sz w:val="24"/>
          <w:szCs w:val="24"/>
        </w:rPr>
        <w:t xml:space="preserve"> naczyń wieńcowych z plastyką) i</w:t>
      </w:r>
      <w:r w:rsidR="00822F51" w:rsidRPr="00C76CFA">
        <w:rPr>
          <w:rFonts w:ascii="Arial" w:hAnsi="Arial" w:cs="Arial"/>
          <w:spacing w:val="-6"/>
          <w:sz w:val="24"/>
          <w:szCs w:val="24"/>
        </w:rPr>
        <w:t xml:space="preserve"> z hemofilią oraz po</w:t>
      </w:r>
      <w:r w:rsidR="00D11EF4" w:rsidRPr="00C76CFA">
        <w:rPr>
          <w:rFonts w:ascii="Arial" w:hAnsi="Arial" w:cs="Arial"/>
          <w:spacing w:val="-6"/>
          <w:sz w:val="24"/>
          <w:szCs w:val="24"/>
        </w:rPr>
        <w:t xml:space="preserve">krewnymi skazami krwotocznymi w </w:t>
      </w:r>
      <w:r w:rsidR="00822F51" w:rsidRPr="00C76CFA">
        <w:rPr>
          <w:rFonts w:ascii="Arial" w:hAnsi="Arial" w:cs="Arial"/>
          <w:spacing w:val="-6"/>
          <w:sz w:val="24"/>
          <w:szCs w:val="24"/>
        </w:rPr>
        <w:t>wyspecjalizowanych ośrodkach leczenia hemofilii;</w:t>
      </w:r>
    </w:p>
    <w:p w:rsidR="001537EC" w:rsidRPr="00C76CFA" w:rsidRDefault="00822F51" w:rsidP="00822F51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 zakresie skojarzonym neonatologia dodano świadczenia z grypy JGP N26;</w:t>
      </w:r>
    </w:p>
    <w:p w:rsidR="00F03A49" w:rsidRPr="00C76CFA" w:rsidRDefault="00F03A49" w:rsidP="00F03A49">
      <w:pPr>
        <w:pStyle w:val="Akapitzlist"/>
        <w:spacing w:after="60" w:line="360" w:lineRule="auto"/>
        <w:ind w:left="567"/>
        <w:jc w:val="both"/>
        <w:rPr>
          <w:rFonts w:ascii="Arial" w:hAnsi="Arial" w:cs="Arial"/>
          <w:spacing w:val="-6"/>
          <w:sz w:val="24"/>
          <w:szCs w:val="24"/>
        </w:rPr>
      </w:pPr>
    </w:p>
    <w:p w:rsidR="00F03A49" w:rsidRPr="00C76CFA" w:rsidRDefault="00F03A49" w:rsidP="00F03A49">
      <w:pPr>
        <w:pStyle w:val="Akapitzlist"/>
        <w:spacing w:after="60" w:line="360" w:lineRule="auto"/>
        <w:ind w:left="567"/>
        <w:jc w:val="both"/>
        <w:rPr>
          <w:rFonts w:ascii="Arial" w:hAnsi="Arial" w:cs="Arial"/>
          <w:spacing w:val="-6"/>
          <w:sz w:val="24"/>
          <w:szCs w:val="24"/>
        </w:rPr>
      </w:pPr>
    </w:p>
    <w:p w:rsidR="005F03BC" w:rsidRPr="00C76CFA" w:rsidRDefault="00EC1092" w:rsidP="00F03A49">
      <w:pPr>
        <w:pStyle w:val="Akapitzlist"/>
        <w:numPr>
          <w:ilvl w:val="0"/>
          <w:numId w:val="22"/>
        </w:numPr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 xml:space="preserve">dodano przepis </w:t>
      </w:r>
      <w:r w:rsidR="00D93E62" w:rsidRPr="00C76CFA">
        <w:rPr>
          <w:rFonts w:ascii="Arial" w:hAnsi="Arial" w:cs="Arial"/>
          <w:spacing w:val="-6"/>
          <w:sz w:val="24"/>
          <w:szCs w:val="24"/>
        </w:rPr>
        <w:t>regulujący kwestie finansowania świadczeń w zakre</w:t>
      </w:r>
      <w:r w:rsidR="008248B2" w:rsidRPr="00C76CFA">
        <w:rPr>
          <w:rFonts w:ascii="Arial" w:hAnsi="Arial" w:cs="Arial"/>
          <w:spacing w:val="-6"/>
          <w:sz w:val="24"/>
          <w:szCs w:val="24"/>
        </w:rPr>
        <w:t xml:space="preserve">sach skojarzonych </w:t>
      </w:r>
      <w:r w:rsidR="005F03BC" w:rsidRPr="00C76CFA">
        <w:rPr>
          <w:rFonts w:ascii="Arial" w:hAnsi="Arial" w:cs="Arial"/>
          <w:spacing w:val="-6"/>
          <w:sz w:val="24"/>
          <w:szCs w:val="24"/>
        </w:rPr>
        <w:t>–</w:t>
      </w:r>
      <w:r w:rsidR="008248B2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5F03BC" w:rsidRPr="00C76CFA">
        <w:rPr>
          <w:rFonts w:ascii="Arial" w:hAnsi="Arial" w:cs="Arial"/>
          <w:spacing w:val="-6"/>
          <w:sz w:val="24"/>
          <w:szCs w:val="24"/>
        </w:rPr>
        <w:t>w świetle tej regulacji kwota zobowiązania przeznaczana na realizację świadczeń w zakresach skojarzonych będzie obejmowała również świadczenia finansowane w ramach produktów jednostkowych, dedykowanych do sumowania z właściwymi grupami wymienionymi w tych zakresach, określonych w załączniku nr 1c do zarządzenia;</w:t>
      </w:r>
    </w:p>
    <w:p w:rsidR="007E72F6" w:rsidRPr="00C76CFA" w:rsidRDefault="007E72F6" w:rsidP="00F03A49">
      <w:pPr>
        <w:pStyle w:val="Akapitzlist"/>
        <w:numPr>
          <w:ilvl w:val="0"/>
          <w:numId w:val="22"/>
        </w:numPr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wprowadzono współczynnik korygujący dla grupy świadczeniodawców udzielających świadczeń w zakresie chirurgia naczyniowa – drugi poziom referencyjny;</w:t>
      </w:r>
    </w:p>
    <w:p w:rsidR="00822F51" w:rsidRPr="00C76CFA" w:rsidRDefault="00822F51" w:rsidP="00F03A49">
      <w:pPr>
        <w:pStyle w:val="Akapitzlist"/>
        <w:numPr>
          <w:ilvl w:val="0"/>
          <w:numId w:val="22"/>
        </w:numPr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doprecyzowano przepisy</w:t>
      </w:r>
      <w:r w:rsidR="000F437B" w:rsidRPr="00C76CFA">
        <w:rPr>
          <w:rFonts w:ascii="Arial" w:hAnsi="Arial" w:cs="Arial"/>
          <w:spacing w:val="-6"/>
          <w:sz w:val="24"/>
          <w:szCs w:val="24"/>
        </w:rPr>
        <w:t xml:space="preserve"> z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arządzenia odnoszące się </w:t>
      </w:r>
      <w:r w:rsidR="001A5F9B" w:rsidRPr="00C76CFA">
        <w:rPr>
          <w:rFonts w:ascii="Arial" w:hAnsi="Arial" w:cs="Arial"/>
          <w:spacing w:val="-6"/>
          <w:sz w:val="24"/>
          <w:szCs w:val="24"/>
        </w:rPr>
        <w:t xml:space="preserve">do 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rozliczania świadczenia: </w:t>
      </w:r>
      <w:r w:rsidRPr="00C76CFA">
        <w:rPr>
          <w:rFonts w:ascii="Arial" w:hAnsi="Arial" w:cs="Arial"/>
          <w:i/>
          <w:spacing w:val="-6"/>
          <w:sz w:val="24"/>
          <w:szCs w:val="24"/>
        </w:rPr>
        <w:t>Całościowa ocena geriatryczna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 finansowanego w ramach </w:t>
      </w:r>
      <w:r w:rsidR="000F437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produktu </w:t>
      </w:r>
      <w:r w:rsidR="00D64AE5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nr </w:t>
      </w:r>
      <w:r w:rsidR="000F437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5.53.01.0001499 z katalogu produ</w:t>
      </w:r>
      <w:r w:rsidR="00F03A4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któw do sumowania, wskazując na 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konieczność 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udokumentowania przeprowadzenia oceny geriatrycznej przez lekarza geriatrę lub </w:t>
      </w:r>
      <w:r w:rsidR="00C843A6" w:rsidRPr="00C76CFA">
        <w:rPr>
          <w:rFonts w:ascii="Arial" w:hAnsi="Arial" w:cs="Arial"/>
          <w:spacing w:val="-6"/>
          <w:sz w:val="24"/>
          <w:szCs w:val="24"/>
        </w:rPr>
        <w:t>konsultacyjny zespół geriatryczny </w:t>
      </w:r>
      <w:r w:rsidRPr="00C76CFA">
        <w:rPr>
          <w:rFonts w:ascii="Arial" w:hAnsi="Arial" w:cs="Arial"/>
          <w:spacing w:val="-6"/>
          <w:sz w:val="24"/>
          <w:szCs w:val="24"/>
        </w:rPr>
        <w:t>- dotyczy świadczeniodawców realizujących świadczenia na podstawie § 6a rozporz</w:t>
      </w:r>
      <w:r w:rsidR="00F03A49" w:rsidRPr="00C76CFA">
        <w:rPr>
          <w:rFonts w:ascii="Arial" w:hAnsi="Arial" w:cs="Arial"/>
          <w:spacing w:val="-6"/>
          <w:sz w:val="24"/>
          <w:szCs w:val="24"/>
        </w:rPr>
        <w:t>ądzenia szpitalnego, którzy nie </w:t>
      </w:r>
      <w:r w:rsidRPr="00C76CFA">
        <w:rPr>
          <w:rFonts w:ascii="Arial" w:hAnsi="Arial" w:cs="Arial"/>
          <w:spacing w:val="-6"/>
          <w:sz w:val="24"/>
          <w:szCs w:val="24"/>
        </w:rPr>
        <w:t>dysponują oddziałem geriatrycznym ani poradnią geriatryczną;</w:t>
      </w:r>
    </w:p>
    <w:p w:rsidR="004039D1" w:rsidRPr="00C76CFA" w:rsidRDefault="004039D1" w:rsidP="00F03A49">
      <w:pPr>
        <w:pStyle w:val="Akapitzlist"/>
        <w:numPr>
          <w:ilvl w:val="0"/>
          <w:numId w:val="22"/>
        </w:numPr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 xml:space="preserve">wprowadzono możliwość rozliczania produktu o kodzie nr 5.53.01.0001499 Całościowa ocena geriatryczna </w:t>
      </w:r>
      <w:r w:rsidR="00B111F9" w:rsidRPr="00C76CFA">
        <w:rPr>
          <w:rFonts w:ascii="Arial" w:hAnsi="Arial" w:cs="Arial"/>
          <w:spacing w:val="-6"/>
          <w:sz w:val="24"/>
          <w:szCs w:val="24"/>
        </w:rPr>
        <w:t>(COG)</w:t>
      </w:r>
      <w:r w:rsidR="00B111F9" w:rsidRPr="00C76CFA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C76CFA">
        <w:rPr>
          <w:rFonts w:ascii="Arial" w:hAnsi="Arial" w:cs="Arial"/>
          <w:spacing w:val="-6"/>
          <w:sz w:val="24"/>
          <w:szCs w:val="24"/>
        </w:rPr>
        <w:t>we wszystkich zakresach z wyjątkiem</w:t>
      </w:r>
      <w:r w:rsidR="000F437B" w:rsidRPr="00C76CFA">
        <w:rPr>
          <w:rFonts w:ascii="Arial" w:hAnsi="Arial" w:cs="Arial"/>
          <w:spacing w:val="-6"/>
          <w:sz w:val="24"/>
          <w:szCs w:val="24"/>
        </w:rPr>
        <w:t xml:space="preserve"> zakresów dedykowanych dzieciom (o profilu pediatrycznym) </w:t>
      </w:r>
      <w:r w:rsidRPr="00C76CFA">
        <w:rPr>
          <w:rFonts w:ascii="Arial" w:hAnsi="Arial" w:cs="Arial"/>
          <w:spacing w:val="-6"/>
          <w:sz w:val="24"/>
          <w:szCs w:val="24"/>
        </w:rPr>
        <w:t>ora</w:t>
      </w:r>
      <w:r w:rsidR="000F437B" w:rsidRPr="00C76CFA">
        <w:rPr>
          <w:rFonts w:ascii="Arial" w:hAnsi="Arial" w:cs="Arial"/>
          <w:spacing w:val="-6"/>
          <w:sz w:val="24"/>
          <w:szCs w:val="24"/>
        </w:rPr>
        <w:t>z położniczo – ginekologicznym</w:t>
      </w:r>
      <w:r w:rsidR="00B111F9" w:rsidRPr="00C76CFA">
        <w:rPr>
          <w:rFonts w:ascii="Arial" w:hAnsi="Arial" w:cs="Arial"/>
          <w:spacing w:val="-6"/>
          <w:sz w:val="24"/>
          <w:szCs w:val="24"/>
        </w:rPr>
        <w:t>, z jednoczesnym wprowadzeniem p</w:t>
      </w:r>
      <w:r w:rsidR="00F03A49" w:rsidRPr="00C76CFA">
        <w:rPr>
          <w:rFonts w:ascii="Arial" w:hAnsi="Arial" w:cs="Arial"/>
          <w:spacing w:val="-6"/>
          <w:sz w:val="24"/>
          <w:szCs w:val="24"/>
        </w:rPr>
        <w:t>rzepisu w kolumnie „uwagi”, iż </w:t>
      </w:r>
      <w:r w:rsidR="00B111F9" w:rsidRPr="00C76CFA">
        <w:rPr>
          <w:rFonts w:ascii="Arial" w:hAnsi="Arial" w:cs="Arial"/>
          <w:spacing w:val="-6"/>
          <w:sz w:val="24"/>
          <w:szCs w:val="24"/>
        </w:rPr>
        <w:t xml:space="preserve">COG „przeprowadzana jest przez lekarza geriatrę lub konsultacyjny zespół geriatryczny” </w:t>
      </w:r>
      <w:r w:rsidR="000F437B" w:rsidRPr="00C76CFA">
        <w:rPr>
          <w:rFonts w:ascii="Arial" w:hAnsi="Arial" w:cs="Arial"/>
          <w:spacing w:val="-6"/>
          <w:sz w:val="24"/>
          <w:szCs w:val="24"/>
        </w:rPr>
        <w:t>– w celu zachowania</w:t>
      </w:r>
      <w:r w:rsidR="00B111F9" w:rsidRPr="00C76CFA">
        <w:rPr>
          <w:rFonts w:ascii="Arial" w:hAnsi="Arial" w:cs="Arial"/>
          <w:spacing w:val="-6"/>
          <w:sz w:val="24"/>
          <w:szCs w:val="24"/>
        </w:rPr>
        <w:t xml:space="preserve"> spójności z przepisami § </w:t>
      </w:r>
      <w:r w:rsidRPr="00C76CFA">
        <w:rPr>
          <w:rFonts w:ascii="Arial" w:hAnsi="Arial" w:cs="Arial"/>
          <w:spacing w:val="-6"/>
          <w:sz w:val="24"/>
          <w:szCs w:val="24"/>
        </w:rPr>
        <w:t>6a rozporządzenia szpitalnego</w:t>
      </w:r>
      <w:r w:rsidR="00B111F9" w:rsidRPr="00C76CFA">
        <w:rPr>
          <w:rFonts w:ascii="Arial" w:hAnsi="Arial" w:cs="Arial"/>
          <w:spacing w:val="-6"/>
          <w:sz w:val="24"/>
          <w:szCs w:val="24"/>
        </w:rPr>
        <w:t xml:space="preserve"> oraz obowiązującym standardem postępo</w:t>
      </w:r>
      <w:r w:rsidR="00F03A49" w:rsidRPr="00C76CFA">
        <w:rPr>
          <w:rFonts w:ascii="Arial" w:hAnsi="Arial" w:cs="Arial"/>
          <w:spacing w:val="-6"/>
          <w:sz w:val="24"/>
          <w:szCs w:val="24"/>
        </w:rPr>
        <w:t>wania w opiece geriatrycznej z </w:t>
      </w:r>
      <w:r w:rsidR="00B111F9" w:rsidRPr="00C76CFA">
        <w:rPr>
          <w:rFonts w:ascii="Arial" w:hAnsi="Arial" w:cs="Arial"/>
          <w:spacing w:val="-6"/>
          <w:sz w:val="24"/>
          <w:szCs w:val="24"/>
        </w:rPr>
        <w:t>2013 r. opracowanych przez Zespół ds. Gerontologii przy Ministrze Zdrowia;</w:t>
      </w:r>
    </w:p>
    <w:p w:rsidR="007E72F6" w:rsidRPr="00C76CFA" w:rsidRDefault="00C253B3" w:rsidP="00C843A6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</w:rPr>
        <w:t>z</w:t>
      </w:r>
      <w:r w:rsidR="006F083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modyfikowano </w:t>
      </w:r>
      <w:r w:rsidR="00B111F9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również </w:t>
      </w:r>
      <w:r w:rsidR="00D64AE5" w:rsidRPr="00C76CFA">
        <w:rPr>
          <w:rFonts w:ascii="Arial" w:eastAsia="Times New Roman" w:hAnsi="Arial" w:cs="Arial"/>
          <w:spacing w:val="-6"/>
          <w:sz w:val="24"/>
          <w:szCs w:val="24"/>
        </w:rPr>
        <w:t>opis dotyczący c</w:t>
      </w:r>
      <w:r w:rsidR="000F437B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ałościowej oceny geriatrycznej (część VI </w:t>
      </w:r>
      <w:r w:rsidR="00D64AE5" w:rsidRPr="00C76CFA">
        <w:rPr>
          <w:rFonts w:ascii="Arial" w:eastAsia="Times New Roman" w:hAnsi="Arial" w:cs="Arial"/>
          <w:spacing w:val="-6"/>
          <w:sz w:val="24"/>
          <w:szCs w:val="24"/>
        </w:rPr>
        <w:t>zał. nr 10 do załączenia</w:t>
      </w:r>
      <w:r w:rsidR="000F437B" w:rsidRPr="00C76CFA">
        <w:rPr>
          <w:rFonts w:ascii="Arial" w:eastAsia="Times New Roman" w:hAnsi="Arial" w:cs="Arial"/>
          <w:spacing w:val="-6"/>
          <w:sz w:val="24"/>
          <w:szCs w:val="24"/>
        </w:rPr>
        <w:t>)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, </w:t>
      </w:r>
      <w:r w:rsidR="00C843A6" w:rsidRPr="00C76CFA">
        <w:rPr>
          <w:rFonts w:ascii="Arial" w:hAnsi="Arial" w:cs="Arial"/>
          <w:spacing w:val="-6"/>
          <w:sz w:val="24"/>
          <w:szCs w:val="24"/>
        </w:rPr>
        <w:t xml:space="preserve">poprzez </w:t>
      </w:r>
      <w:r w:rsidR="000252CA" w:rsidRPr="00C76CFA">
        <w:rPr>
          <w:rFonts w:ascii="Arial" w:hAnsi="Arial" w:cs="Arial"/>
          <w:spacing w:val="-6"/>
          <w:sz w:val="24"/>
          <w:szCs w:val="24"/>
        </w:rPr>
        <w:t>u</w:t>
      </w:r>
      <w:r w:rsidR="00C843A6" w:rsidRPr="00C76CFA">
        <w:rPr>
          <w:rFonts w:ascii="Arial" w:hAnsi="Arial" w:cs="Arial"/>
          <w:spacing w:val="-6"/>
          <w:sz w:val="24"/>
          <w:szCs w:val="24"/>
        </w:rPr>
        <w:t xml:space="preserve">szczegółowienie zakresu realizacji oceny geriatrycznej w ramach porady konsultacyjnej przeprowadzanej przez lekarza geriatrę i/lub konsultacyjny zespół geriatryczny oraz </w:t>
      </w:r>
      <w:r w:rsidR="00B111F9" w:rsidRPr="00C76CFA">
        <w:rPr>
          <w:rFonts w:ascii="Arial" w:eastAsia="Times New Roman" w:hAnsi="Arial" w:cs="Arial"/>
          <w:spacing w:val="-6"/>
          <w:sz w:val="24"/>
          <w:szCs w:val="24"/>
        </w:rPr>
        <w:t>dodano w</w:t>
      </w:r>
      <w:r w:rsidR="006F083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B111F9" w:rsidRPr="00C76CFA">
        <w:rPr>
          <w:rFonts w:ascii="Arial" w:eastAsia="Times New Roman" w:hAnsi="Arial" w:cs="Arial"/>
          <w:spacing w:val="-6"/>
          <w:sz w:val="24"/>
          <w:szCs w:val="24"/>
        </w:rPr>
        <w:t>„Karcie</w:t>
      </w:r>
      <w:r w:rsidR="00D64AE5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całościowej oceny geriatrycznej”</w:t>
      </w:r>
      <w:r w:rsidR="00B111F9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możliwości wpisania </w:t>
      </w:r>
      <w:r w:rsidR="00C843A6" w:rsidRPr="00C76CFA">
        <w:rPr>
          <w:rFonts w:ascii="Arial" w:hAnsi="Arial" w:cs="Arial"/>
          <w:spacing w:val="-6"/>
          <w:sz w:val="24"/>
          <w:szCs w:val="24"/>
        </w:rPr>
        <w:t xml:space="preserve">przez lekarza geriatrę 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wniosków diagnostycznych/leczniczych i zaleceń przekazywanych </w:t>
      </w:r>
      <w:r w:rsidR="00C843A6" w:rsidRPr="00C76CFA">
        <w:rPr>
          <w:rFonts w:ascii="Arial" w:hAnsi="Arial" w:cs="Arial"/>
          <w:spacing w:val="-6"/>
          <w:sz w:val="24"/>
          <w:szCs w:val="24"/>
        </w:rPr>
        <w:t xml:space="preserve">personelowi medycznemu sprawującemu opiekę nad pacjentem geriatrycznym (dotyczy oddziałów innych niż geriatryczne), </w:t>
      </w:r>
      <w:r w:rsidR="004039D1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w związku z wprowadzeniem możliwości 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rozliczania </w:t>
      </w:r>
      <w:r w:rsidR="004039D1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procedury </w:t>
      </w:r>
      <w:r w:rsidR="004039D1" w:rsidRPr="00C76CFA">
        <w:rPr>
          <w:rFonts w:ascii="Arial" w:hAnsi="Arial" w:cs="Arial"/>
          <w:i/>
          <w:spacing w:val="-6"/>
          <w:sz w:val="24"/>
          <w:szCs w:val="24"/>
        </w:rPr>
        <w:t>Całościowa ocena geriatryczna</w:t>
      </w:r>
      <w:r w:rsidR="004039D1" w:rsidRPr="00C76CFA">
        <w:rPr>
          <w:rFonts w:ascii="Arial" w:hAnsi="Arial" w:cs="Arial"/>
          <w:spacing w:val="-6"/>
          <w:sz w:val="24"/>
          <w:szCs w:val="24"/>
        </w:rPr>
        <w:t xml:space="preserve"> przez </w:t>
      </w:r>
      <w:r w:rsidR="00FD153A" w:rsidRPr="00C76CFA">
        <w:rPr>
          <w:rFonts w:ascii="Arial" w:hAnsi="Arial" w:cs="Arial"/>
          <w:spacing w:val="-6"/>
          <w:sz w:val="24"/>
          <w:szCs w:val="24"/>
        </w:rPr>
        <w:t xml:space="preserve">wszystkich </w:t>
      </w:r>
      <w:r w:rsidR="004039D1" w:rsidRPr="00C76CFA">
        <w:rPr>
          <w:rFonts w:ascii="Arial" w:hAnsi="Arial" w:cs="Arial"/>
          <w:spacing w:val="-6"/>
          <w:sz w:val="24"/>
          <w:szCs w:val="24"/>
        </w:rPr>
        <w:t>świadczeniodawców</w:t>
      </w:r>
      <w:r w:rsidR="00FD153A" w:rsidRPr="00C76CFA">
        <w:rPr>
          <w:rFonts w:ascii="Arial" w:hAnsi="Arial" w:cs="Arial"/>
          <w:spacing w:val="-6"/>
          <w:sz w:val="24"/>
          <w:szCs w:val="24"/>
        </w:rPr>
        <w:t xml:space="preserve">, w tym </w:t>
      </w:r>
      <w:r w:rsidR="00FD153A" w:rsidRPr="00C76CFA">
        <w:rPr>
          <w:rFonts w:ascii="Arial" w:hAnsi="Arial" w:cs="Arial"/>
          <w:spacing w:val="-6"/>
          <w:sz w:val="24"/>
          <w:szCs w:val="24"/>
        </w:rPr>
        <w:lastRenderedPageBreak/>
        <w:t>świadczeniodawców nie dysponujących oddziałami geriatrycznymi. Przedmiotowa modyfikacja wynika ze stanowiska</w:t>
      </w:r>
      <w:r w:rsidR="002E161C" w:rsidRPr="00C76CFA">
        <w:rPr>
          <w:rFonts w:ascii="Arial" w:hAnsi="Arial" w:cs="Arial"/>
          <w:spacing w:val="-6"/>
          <w:sz w:val="24"/>
          <w:szCs w:val="24"/>
        </w:rPr>
        <w:t xml:space="preserve"> Ministra Zd</w:t>
      </w:r>
      <w:r w:rsidR="00C843A6" w:rsidRPr="00C76CFA">
        <w:rPr>
          <w:rFonts w:ascii="Arial" w:hAnsi="Arial" w:cs="Arial"/>
          <w:spacing w:val="-6"/>
          <w:sz w:val="24"/>
          <w:szCs w:val="24"/>
        </w:rPr>
        <w:t>rowia oraz standardu postępowania w </w:t>
      </w:r>
      <w:r w:rsidR="002E161C" w:rsidRPr="00C76CFA">
        <w:rPr>
          <w:rFonts w:ascii="Arial" w:hAnsi="Arial" w:cs="Arial"/>
          <w:spacing w:val="-6"/>
          <w:sz w:val="24"/>
          <w:szCs w:val="24"/>
        </w:rPr>
        <w:t>opiece geriatrycznej z 2013 r</w:t>
      </w:r>
      <w:r w:rsidR="00C843A6" w:rsidRPr="00C76CFA">
        <w:rPr>
          <w:rFonts w:ascii="Arial" w:hAnsi="Arial" w:cs="Arial"/>
          <w:spacing w:val="-6"/>
          <w:sz w:val="24"/>
          <w:szCs w:val="24"/>
        </w:rPr>
        <w:t>. opracowanego</w:t>
      </w:r>
      <w:r w:rsidR="00A76531" w:rsidRPr="00C76CFA">
        <w:rPr>
          <w:rFonts w:ascii="Arial" w:hAnsi="Arial" w:cs="Arial"/>
          <w:spacing w:val="-6"/>
          <w:sz w:val="24"/>
          <w:szCs w:val="24"/>
        </w:rPr>
        <w:t xml:space="preserve"> przez Zespół ds. </w:t>
      </w:r>
      <w:r w:rsidR="002E161C" w:rsidRPr="00C76CFA">
        <w:rPr>
          <w:rFonts w:ascii="Arial" w:hAnsi="Arial" w:cs="Arial"/>
          <w:spacing w:val="-6"/>
          <w:sz w:val="24"/>
          <w:szCs w:val="24"/>
        </w:rPr>
        <w:t>Gero</w:t>
      </w:r>
      <w:r w:rsidR="00C843A6" w:rsidRPr="00C76CFA">
        <w:rPr>
          <w:rFonts w:ascii="Arial" w:hAnsi="Arial" w:cs="Arial"/>
          <w:spacing w:val="-6"/>
          <w:sz w:val="24"/>
          <w:szCs w:val="24"/>
        </w:rPr>
        <w:t>ntologii przy Ministrze Zdrowia;</w:t>
      </w:r>
    </w:p>
    <w:p w:rsidR="002D0D22" w:rsidRPr="00C76CFA" w:rsidRDefault="000F437B" w:rsidP="002D0D22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 katalogu produktów odrębnych i katalogu pro</w:t>
      </w:r>
      <w:r w:rsidR="001A5F9B" w:rsidRPr="00C76CFA">
        <w:rPr>
          <w:rFonts w:ascii="Arial" w:hAnsi="Arial" w:cs="Arial"/>
          <w:spacing w:val="-6"/>
          <w:sz w:val="24"/>
          <w:szCs w:val="24"/>
        </w:rPr>
        <w:t>duktów do sumowania, dodano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 produkt</w:t>
      </w:r>
      <w:r w:rsidR="002D0D22" w:rsidRPr="00C76CFA">
        <w:rPr>
          <w:rFonts w:ascii="Arial" w:hAnsi="Arial" w:cs="Arial"/>
          <w:spacing w:val="-6"/>
          <w:sz w:val="24"/>
          <w:szCs w:val="24"/>
        </w:rPr>
        <w:t>y rozliczeniowe</w:t>
      </w:r>
      <w:r w:rsidR="002D0D22" w:rsidRPr="00C76CFA">
        <w:rPr>
          <w:rFonts w:ascii="Arial" w:hAnsi="Arial" w:cs="Arial"/>
          <w:bCs/>
          <w:spacing w:val="-6"/>
          <w:sz w:val="24"/>
          <w:szCs w:val="24"/>
        </w:rPr>
        <w:t xml:space="preserve"> dedykowane</w:t>
      </w:r>
      <w:r w:rsidRPr="00C76CFA">
        <w:rPr>
          <w:rFonts w:ascii="Arial" w:hAnsi="Arial" w:cs="Arial"/>
          <w:bCs/>
          <w:spacing w:val="-6"/>
          <w:sz w:val="24"/>
          <w:szCs w:val="24"/>
        </w:rPr>
        <w:t xml:space="preserve"> do rozliczania</w:t>
      </w:r>
      <w:r w:rsidRPr="00C76CFA">
        <w:rPr>
          <w:spacing w:val="-6"/>
        </w:rPr>
        <w:t xml:space="preserve"> </w:t>
      </w:r>
      <w:r w:rsidRPr="00C76CFA">
        <w:rPr>
          <w:rFonts w:ascii="Arial" w:hAnsi="Arial" w:cs="Arial"/>
          <w:spacing w:val="-6"/>
          <w:sz w:val="24"/>
          <w:szCs w:val="24"/>
        </w:rPr>
        <w:t>kosztów leków w ramach ratunkowego dostępu do technologii lekowej – wprowadzenie wynika z </w:t>
      </w:r>
      <w:r w:rsidR="001A5F9B" w:rsidRPr="00C76CFA">
        <w:rPr>
          <w:rFonts w:ascii="Arial" w:hAnsi="Arial" w:cs="Arial"/>
          <w:spacing w:val="-6"/>
          <w:sz w:val="24"/>
          <w:szCs w:val="24"/>
        </w:rPr>
        <w:t>przepisów ustawy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 z dnia 25 maja 2017 r. o zmianie ustawy o świadczeniach opieki zdrowotnej finansowanych ze środków publicznych oraz niektórych </w:t>
      </w:r>
      <w:r w:rsidR="00C843A6" w:rsidRPr="00C76CFA">
        <w:rPr>
          <w:rFonts w:ascii="Arial" w:hAnsi="Arial" w:cs="Arial"/>
          <w:spacing w:val="-6"/>
          <w:sz w:val="24"/>
          <w:szCs w:val="24"/>
        </w:rPr>
        <w:t>innych u</w:t>
      </w:r>
      <w:r w:rsidR="002D0D22" w:rsidRPr="00C76CFA">
        <w:rPr>
          <w:rFonts w:ascii="Arial" w:hAnsi="Arial" w:cs="Arial"/>
          <w:spacing w:val="-6"/>
          <w:sz w:val="24"/>
          <w:szCs w:val="24"/>
        </w:rPr>
        <w:t>staw (Dz. U. poz. 1200)</w:t>
      </w:r>
      <w:r w:rsidR="001A5F9B" w:rsidRPr="00C76CFA">
        <w:rPr>
          <w:rFonts w:ascii="Arial" w:hAnsi="Arial" w:cs="Arial"/>
          <w:spacing w:val="-6"/>
          <w:sz w:val="24"/>
          <w:szCs w:val="24"/>
        </w:rPr>
        <w:t>;</w:t>
      </w:r>
      <w:r w:rsidR="002D0D22" w:rsidRPr="00C76CFA">
        <w:rPr>
          <w:rFonts w:ascii="Arial" w:hAnsi="Arial" w:cs="Arial"/>
          <w:spacing w:val="-6"/>
          <w:sz w:val="24"/>
          <w:szCs w:val="24"/>
        </w:rPr>
        <w:t xml:space="preserve"> oraz </w:t>
      </w:r>
      <w:r w:rsidR="00142E38" w:rsidRPr="00C76CFA">
        <w:rPr>
          <w:rFonts w:ascii="Arial" w:hAnsi="Arial" w:cs="Arial"/>
          <w:spacing w:val="-6"/>
          <w:sz w:val="24"/>
          <w:szCs w:val="24"/>
        </w:rPr>
        <w:t xml:space="preserve">kosztów </w:t>
      </w:r>
      <w:r w:rsidR="002D0D22" w:rsidRPr="00C76CFA">
        <w:rPr>
          <w:rFonts w:ascii="Arial" w:hAnsi="Arial" w:cs="Arial"/>
          <w:spacing w:val="-6"/>
          <w:sz w:val="24"/>
          <w:szCs w:val="24"/>
        </w:rPr>
        <w:t>wyrobów medycznych stosowanych w leczeniu pęcherzowego oddzielania naskórka;</w:t>
      </w:r>
    </w:p>
    <w:p w:rsidR="00694A84" w:rsidRPr="00C76CFA" w:rsidRDefault="002D0D22" w:rsidP="00F03A49">
      <w:pPr>
        <w:pStyle w:val="Akapitzlist"/>
        <w:numPr>
          <w:ilvl w:val="0"/>
          <w:numId w:val="22"/>
        </w:numPr>
        <w:spacing w:after="8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 katalogu produktów onkologicznych – pakiety onkologiczne</w:t>
      </w:r>
      <w:r w:rsidR="008248B2" w:rsidRPr="00C76CFA">
        <w:rPr>
          <w:rFonts w:ascii="Arial" w:hAnsi="Arial" w:cs="Arial"/>
          <w:spacing w:val="-6"/>
          <w:sz w:val="24"/>
          <w:szCs w:val="24"/>
        </w:rPr>
        <w:t xml:space="preserve"> rozszerzono wykaz produktów rozliczeniowych </w:t>
      </w:r>
      <w:r w:rsidR="00694A84" w:rsidRPr="00C76CFA">
        <w:rPr>
          <w:rFonts w:ascii="Arial" w:hAnsi="Arial" w:cs="Arial"/>
          <w:spacing w:val="-6"/>
          <w:sz w:val="24"/>
          <w:szCs w:val="24"/>
        </w:rPr>
        <w:t>o produkt</w:t>
      </w:r>
      <w:r w:rsidR="001A5F9B" w:rsidRPr="00C76CFA">
        <w:rPr>
          <w:rFonts w:ascii="Arial" w:hAnsi="Arial" w:cs="Arial"/>
          <w:spacing w:val="-6"/>
          <w:sz w:val="24"/>
          <w:szCs w:val="24"/>
        </w:rPr>
        <w:t>:</w:t>
      </w:r>
      <w:r w:rsidR="00694A84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8248B2" w:rsidRPr="00C76CFA">
        <w:rPr>
          <w:rFonts w:ascii="Arial" w:hAnsi="Arial" w:cs="Arial"/>
          <w:spacing w:val="-6"/>
          <w:sz w:val="24"/>
          <w:szCs w:val="24"/>
        </w:rPr>
        <w:t>5.52.01.0000035</w:t>
      </w:r>
      <w:r w:rsidR="00694A84" w:rsidRPr="00C76CFA">
        <w:rPr>
          <w:rFonts w:ascii="Arial" w:hAnsi="Arial" w:cs="Arial"/>
          <w:spacing w:val="-6"/>
          <w:sz w:val="24"/>
          <w:szCs w:val="24"/>
        </w:rPr>
        <w:t xml:space="preserve"> umożliwiający rozliczenie implantację portu naczyniowego z hospitalizacją;</w:t>
      </w:r>
    </w:p>
    <w:p w:rsidR="00694A84" w:rsidRPr="00C76CFA" w:rsidRDefault="00694A84" w:rsidP="00F03A49">
      <w:pPr>
        <w:pStyle w:val="Akapitzlist"/>
        <w:numPr>
          <w:ilvl w:val="0"/>
          <w:numId w:val="22"/>
        </w:numPr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w załączniku dotyczącym oceny stanu pacjenta według skali TISS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– </w:t>
      </w:r>
      <w:r w:rsidRPr="00C76CFA">
        <w:rPr>
          <w:rFonts w:ascii="Arial" w:hAnsi="Arial" w:cs="Arial"/>
          <w:spacing w:val="-6"/>
          <w:sz w:val="24"/>
          <w:szCs w:val="24"/>
        </w:rPr>
        <w:t>28, w punkcie odnoszącym się do monitorowania hemodynamicznego za pomocą metod małoinwazyjnych</w:t>
      </w:r>
      <w:r w:rsidR="00D11EF4" w:rsidRPr="00C76CFA">
        <w:rPr>
          <w:rFonts w:ascii="Arial" w:hAnsi="Arial" w:cs="Arial"/>
          <w:spacing w:val="-6"/>
          <w:sz w:val="24"/>
          <w:szCs w:val="24"/>
        </w:rPr>
        <w:t>,</w:t>
      </w:r>
      <w:r w:rsidRPr="00C76CFA">
        <w:rPr>
          <w:rFonts w:ascii="Arial" w:hAnsi="Arial" w:cs="Arial"/>
          <w:spacing w:val="-6"/>
          <w:sz w:val="24"/>
          <w:szCs w:val="24"/>
        </w:rPr>
        <w:t xml:space="preserve"> dokonano korekt</w:t>
      </w:r>
      <w:r w:rsidR="00754B28" w:rsidRPr="00C76CFA">
        <w:rPr>
          <w:rFonts w:ascii="Arial" w:hAnsi="Arial" w:cs="Arial"/>
          <w:spacing w:val="-6"/>
          <w:sz w:val="24"/>
          <w:szCs w:val="24"/>
        </w:rPr>
        <w:t>y oczywistej omyłki pisarskiej.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754B28" w:rsidRPr="00C76CFA">
        <w:rPr>
          <w:rFonts w:ascii="Arial" w:hAnsi="Arial" w:cs="Arial"/>
          <w:spacing w:val="-6"/>
          <w:sz w:val="24"/>
          <w:szCs w:val="24"/>
        </w:rPr>
        <w:t>D</w:t>
      </w:r>
      <w:r w:rsidR="00E75AAB" w:rsidRPr="00C76CFA">
        <w:rPr>
          <w:rFonts w:ascii="Arial" w:hAnsi="Arial" w:cs="Arial"/>
          <w:spacing w:val="-6"/>
          <w:sz w:val="24"/>
          <w:szCs w:val="24"/>
        </w:rPr>
        <w:t>odano punkt uwzględniający monitorowanie hemodynamiczne za pomocą</w:t>
      </w:r>
      <w:r w:rsidR="00DB15BF" w:rsidRPr="00C76CFA">
        <w:rPr>
          <w:rFonts w:ascii="Arial" w:hAnsi="Arial" w:cs="Arial"/>
          <w:spacing w:val="-6"/>
          <w:sz w:val="24"/>
          <w:szCs w:val="24"/>
        </w:rPr>
        <w:t xml:space="preserve"> metod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małoinwazyjnych (określając jednocześnie katalog metod zaliczanych do punktacji)</w:t>
      </w:r>
      <w:r w:rsidR="00754B28" w:rsidRPr="00C76CFA">
        <w:rPr>
          <w:rFonts w:ascii="Arial" w:hAnsi="Arial" w:cs="Arial"/>
          <w:spacing w:val="-6"/>
          <w:sz w:val="24"/>
          <w:szCs w:val="24"/>
        </w:rPr>
        <w:t>.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754B28" w:rsidRPr="00C76CFA">
        <w:rPr>
          <w:rFonts w:ascii="Arial" w:hAnsi="Arial" w:cs="Arial"/>
          <w:spacing w:val="-6"/>
          <w:sz w:val="24"/>
          <w:szCs w:val="24"/>
        </w:rPr>
        <w:t>W</w:t>
      </w:r>
      <w:r w:rsidR="002D778A" w:rsidRPr="00C76CFA">
        <w:rPr>
          <w:rFonts w:ascii="Arial" w:hAnsi="Arial" w:cs="Arial"/>
          <w:spacing w:val="-6"/>
          <w:sz w:val="24"/>
          <w:szCs w:val="24"/>
        </w:rPr>
        <w:t xml:space="preserve"> punkcie odnoszącym się do diure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zy wymuszanej farmakologicznie, </w:t>
      </w:r>
      <w:r w:rsidR="002D778A" w:rsidRPr="00C76CFA">
        <w:rPr>
          <w:rFonts w:ascii="Arial" w:hAnsi="Arial" w:cs="Arial"/>
          <w:spacing w:val="-6"/>
          <w:sz w:val="24"/>
          <w:szCs w:val="24"/>
        </w:rPr>
        <w:t>rozszerzono katalog produktów leczniczych (doda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no dwa diuretyki: spironolakton </w:t>
      </w:r>
      <w:r w:rsidR="002D778A" w:rsidRPr="00C76CFA">
        <w:rPr>
          <w:rFonts w:ascii="Arial" w:hAnsi="Arial" w:cs="Arial"/>
          <w:spacing w:val="-6"/>
          <w:sz w:val="24"/>
          <w:szCs w:val="24"/>
        </w:rPr>
        <w:t xml:space="preserve">i torasemid) dookreślając jednoznacznie </w:t>
      </w:r>
      <w:r w:rsidR="00754B28" w:rsidRPr="00C76CFA">
        <w:rPr>
          <w:rFonts w:ascii="Arial" w:hAnsi="Arial" w:cs="Arial"/>
          <w:spacing w:val="-6"/>
          <w:sz w:val="24"/>
          <w:szCs w:val="24"/>
        </w:rPr>
        <w:t>drogę podaży – podanie dożylne.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754B28" w:rsidRPr="00C76CFA">
        <w:rPr>
          <w:rFonts w:ascii="Arial" w:hAnsi="Arial" w:cs="Arial"/>
          <w:spacing w:val="-6"/>
          <w:sz w:val="24"/>
          <w:szCs w:val="24"/>
        </w:rPr>
        <w:t>W</w:t>
      </w:r>
      <w:r w:rsidR="00E75AAB" w:rsidRPr="00C76CFA">
        <w:rPr>
          <w:rFonts w:ascii="Arial" w:hAnsi="Arial" w:cs="Arial"/>
          <w:spacing w:val="-6"/>
          <w:sz w:val="24"/>
          <w:szCs w:val="24"/>
        </w:rPr>
        <w:t xml:space="preserve"> punkcie odnoszącym się do pomiaru ICP dodano uwagę nt. możliwość rozliczania kosztu jednorazowego zestawu do pomiaru ciśnienia śródczaszkowego produktem</w:t>
      </w:r>
      <w:r w:rsidR="00E75AAB" w:rsidRPr="00C76CFA">
        <w:rPr>
          <w:rFonts w:ascii="Arial" w:hAnsi="Arial" w:cs="Arial"/>
          <w:spacing w:val="-6"/>
          <w:sz w:val="24"/>
          <w:szCs w:val="24"/>
        </w:rPr>
        <w:br/>
        <w:t xml:space="preserve">o kodzie nr 5.53.01.0001435 Wyrób medyczny nie zawarty w kosztach świadczenia. </w:t>
      </w:r>
      <w:r w:rsidRPr="00C76CFA">
        <w:rPr>
          <w:rFonts w:ascii="Arial" w:hAnsi="Arial" w:cs="Arial"/>
          <w:spacing w:val="-6"/>
          <w:sz w:val="24"/>
          <w:szCs w:val="24"/>
        </w:rPr>
        <w:t>W pozostałej części skala TISS – 28 pozostaje bez zmian.</w:t>
      </w:r>
    </w:p>
    <w:p w:rsidR="00A4064F" w:rsidRPr="00C76CFA" w:rsidRDefault="007E72F6" w:rsidP="000458C4">
      <w:pPr>
        <w:pStyle w:val="Akapitzlist"/>
        <w:spacing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</w:rPr>
        <w:t>Zmiany w pozostałych katalogach (katalog</w:t>
      </w:r>
      <w:r w:rsidR="00F03A49" w:rsidRPr="00C76CFA">
        <w:rPr>
          <w:rFonts w:ascii="Arial" w:eastAsia="Times New Roman" w:hAnsi="Arial" w:cs="Arial"/>
          <w:spacing w:val="-6"/>
          <w:sz w:val="24"/>
          <w:szCs w:val="24"/>
        </w:rPr>
        <w:t>u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2E161C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produktów do sumowania, katalogu zakresów, 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charakterystyka JGP), stanowiących </w:t>
      </w:r>
      <w:r w:rsidR="002E161C" w:rsidRPr="00C76CFA">
        <w:rPr>
          <w:rFonts w:ascii="Arial" w:eastAsia="Times New Roman" w:hAnsi="Arial" w:cs="Arial"/>
          <w:spacing w:val="-6"/>
          <w:sz w:val="24"/>
          <w:szCs w:val="24"/>
        </w:rPr>
        <w:t>odpowiedni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>o</w:t>
      </w:r>
      <w:r w:rsidR="002E161C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>załącz</w:t>
      </w:r>
      <w:r w:rsidR="00F03A49" w:rsidRPr="00C76CFA">
        <w:rPr>
          <w:rFonts w:ascii="Arial" w:eastAsia="Times New Roman" w:hAnsi="Arial" w:cs="Arial"/>
          <w:spacing w:val="-6"/>
          <w:sz w:val="24"/>
          <w:szCs w:val="24"/>
        </w:rPr>
        <w:t>niki nr 3, 5 i 8 do </w:t>
      </w:r>
      <w:r w:rsidR="001A5F9B" w:rsidRPr="00C76CFA">
        <w:rPr>
          <w:rFonts w:ascii="Arial" w:eastAsia="Times New Roman" w:hAnsi="Arial" w:cs="Arial"/>
          <w:spacing w:val="-6"/>
          <w:sz w:val="24"/>
          <w:szCs w:val="24"/>
        </w:rPr>
        <w:t>zarządzenia,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B37951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wynikają 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>z wprowadzeni</w:t>
      </w:r>
      <w:r w:rsidR="00B37951" w:rsidRPr="00C76CFA">
        <w:rPr>
          <w:rFonts w:ascii="Arial" w:eastAsia="Times New Roman" w:hAnsi="Arial" w:cs="Arial"/>
          <w:spacing w:val="-6"/>
          <w:sz w:val="24"/>
          <w:szCs w:val="24"/>
        </w:rPr>
        <w:t>a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zmian w katalogu grup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>(</w:t>
      </w:r>
      <w:r w:rsidR="00C843A6" w:rsidRPr="00C76CFA">
        <w:rPr>
          <w:rFonts w:ascii="Arial" w:eastAsia="Times New Roman" w:hAnsi="Arial" w:cs="Arial"/>
          <w:spacing w:val="-6"/>
          <w:sz w:val="24"/>
          <w:szCs w:val="24"/>
        </w:rPr>
        <w:t>związanych</w:t>
      </w:r>
      <w:r w:rsidR="00F03A49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z 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>nowymi taryfami świadczeń)</w:t>
      </w:r>
      <w:r w:rsidRPr="00C76CFA">
        <w:rPr>
          <w:rFonts w:ascii="Arial" w:eastAsia="Times New Roman" w:hAnsi="Arial" w:cs="Arial"/>
          <w:spacing w:val="-6"/>
          <w:sz w:val="24"/>
          <w:szCs w:val="24"/>
        </w:rPr>
        <w:t>. Dotyczą modyfikacji (usunięcia, dodania, przeniesienia) procedur lub rozpozn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ań w obrębie </w:t>
      </w:r>
      <w:r w:rsidR="00B37951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charakterystyk JGP. </w:t>
      </w:r>
    </w:p>
    <w:p w:rsidR="003F5F27" w:rsidRPr="00C76CFA" w:rsidRDefault="00B37951" w:rsidP="000458C4">
      <w:pPr>
        <w:pStyle w:val="Akapitzlist"/>
        <w:spacing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</w:rPr>
        <w:t>Dodatkowo w 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>charakterystyce JGP</w:t>
      </w:r>
      <w:r w:rsidR="006F4AF4" w:rsidRPr="00C76CFA">
        <w:rPr>
          <w:rFonts w:ascii="Arial" w:eastAsia="Times New Roman" w:hAnsi="Arial" w:cs="Arial"/>
          <w:spacing w:val="-6"/>
          <w:sz w:val="24"/>
          <w:szCs w:val="24"/>
        </w:rPr>
        <w:t>,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6F4AF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dla zachowania symetrii świadczeń realizowanych w zakresie kompleksowa opieka po </w:t>
      </w:r>
      <w:r w:rsidR="00A4064F" w:rsidRPr="00C76CFA">
        <w:rPr>
          <w:rFonts w:ascii="Arial" w:eastAsia="Times New Roman" w:hAnsi="Arial" w:cs="Arial"/>
          <w:spacing w:val="-6"/>
          <w:sz w:val="24"/>
          <w:szCs w:val="24"/>
        </w:rPr>
        <w:t>zawale mięśnia sercowego oraz w </w:t>
      </w:r>
      <w:r w:rsidR="006F4AF4" w:rsidRPr="00C76CFA">
        <w:rPr>
          <w:rFonts w:ascii="Arial" w:eastAsia="Times New Roman" w:hAnsi="Arial" w:cs="Arial"/>
          <w:spacing w:val="-6"/>
          <w:sz w:val="24"/>
          <w:szCs w:val="24"/>
        </w:rPr>
        <w:t>zakresie specjalistycznych świadc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>zeń kardiologicznych w</w:t>
      </w:r>
      <w:r w:rsidR="006F4AF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ramach </w:t>
      </w:r>
      <w:r w:rsidR="006F4AF4" w:rsidRPr="00C76CFA">
        <w:rPr>
          <w:rFonts w:ascii="Arial" w:eastAsia="Times New Roman" w:hAnsi="Arial" w:cs="Arial"/>
          <w:spacing w:val="-6"/>
          <w:sz w:val="24"/>
          <w:szCs w:val="24"/>
        </w:rPr>
        <w:t>podstawowego systemu zabezpieczenia świadczeń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, </w:t>
      </w:r>
      <w:r w:rsidR="00612BED" w:rsidRPr="00C76CFA">
        <w:rPr>
          <w:rFonts w:ascii="Arial" w:eastAsia="Times New Roman" w:hAnsi="Arial" w:cs="Arial"/>
          <w:spacing w:val="-6"/>
          <w:sz w:val="24"/>
          <w:szCs w:val="24"/>
        </w:rPr>
        <w:t>z grup E10, E11, E12G, E15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z list</w:t>
      </w:r>
      <w:r w:rsidR="001A5F9B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y rozpoznań </w:t>
      </w:r>
      <w:r w:rsidR="001A5F9B" w:rsidRPr="00C76CFA">
        <w:rPr>
          <w:rFonts w:ascii="Arial" w:eastAsia="Times New Roman" w:hAnsi="Arial" w:cs="Arial"/>
          <w:spacing w:val="-6"/>
          <w:sz w:val="24"/>
          <w:szCs w:val="24"/>
        </w:rPr>
        <w:lastRenderedPageBreak/>
        <w:t>zostało</w:t>
      </w:r>
      <w:r w:rsidR="00A4064F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wykreślone 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 rozpoznanie wg ICD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-10 I20.0 Dusznica niestabilna 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i I20.1 Dusznica bolesna z udokumentowanym skurczem naczyń wieńcowych. 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>Z</w:t>
      </w:r>
      <w:r w:rsidR="003F5F27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abiegi w tym wskazaniu 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</w:rPr>
        <w:t xml:space="preserve">rozliczane będą </w:t>
      </w:r>
      <w:r w:rsidR="00025244" w:rsidRPr="00C76CFA">
        <w:rPr>
          <w:rFonts w:ascii="Arial" w:eastAsia="Times New Roman" w:hAnsi="Arial" w:cs="Arial"/>
          <w:spacing w:val="-6"/>
          <w:sz w:val="24"/>
          <w:szCs w:val="24"/>
        </w:rPr>
        <w:t>w ramach angioplastyk naczyń wieńcowych.</w:t>
      </w:r>
    </w:p>
    <w:p w:rsidR="00831FF8" w:rsidRPr="00C76CFA" w:rsidRDefault="00831FF8" w:rsidP="0070516E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Skutek finansowy wynikający</w:t>
      </w:r>
      <w:r w:rsidR="0070516E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wprowadzenia dla niektórych świadczeń taryf świadczeń opublikowanych w obwieszczeniu Prezesa Agencji Oceny Technologii Medycznych i Taryfikacji z dnia 30 grudnia 2016 r. i 30 czerwca 2017 r. w sprawie </w:t>
      </w:r>
      <w:r w:rsidR="005569E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taryf świadczeń gwarantowanych</w:t>
      </w:r>
      <w:r w:rsidR="0070516E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rodzaju</w:t>
      </w:r>
      <w:r w:rsidR="0011425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: leczenie szpitalne </w:t>
      </w:r>
      <w:r w:rsidR="0070516E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oraz 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 wprowadzenia </w:t>
      </w:r>
      <w:r w:rsidR="0070516E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pozostałych </w:t>
      </w:r>
      <w:r w:rsidR="002B0B3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zmian, </w:t>
      </w:r>
      <w:r w:rsidR="000458C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szacowany jest w skali IV kwartału </w:t>
      </w:r>
      <w:r w:rsidR="000955C5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na </w:t>
      </w:r>
      <w:r w:rsidR="001A5F9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ok. 7</w:t>
      </w:r>
      <w:r w:rsidR="00655D1C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mln zł</w:t>
      </w:r>
      <w:r w:rsidR="0060130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.</w:t>
      </w:r>
    </w:p>
    <w:p w:rsidR="00C01B39" w:rsidRPr="00C76CFA" w:rsidRDefault="00C01B39" w:rsidP="00C01B39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Zarządzenie wchodzi w życie z dniem 1 października 2017 r., z wyjątkiem:</w:t>
      </w:r>
    </w:p>
    <w:p w:rsidR="00C01B39" w:rsidRPr="00C76CFA" w:rsidRDefault="00C01B39" w:rsidP="00C01B39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1) lp.</w:t>
      </w:r>
      <w:r w:rsidR="00D11EF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69 załącznika nr 2 do niniejszego zarządzenia;</w:t>
      </w:r>
    </w:p>
    <w:p w:rsidR="00C01B39" w:rsidRPr="00C76CFA" w:rsidRDefault="00C01B39" w:rsidP="00C01B39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2) lp. 80 załącznika nr 3 do niniejszego zarządzenia</w:t>
      </w:r>
    </w:p>
    <w:p w:rsidR="00C01B39" w:rsidRPr="00C76CFA" w:rsidRDefault="00C01B39" w:rsidP="00C01B39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-  które wchodzą w życie z mocą od dnia 23 lipca 2017 r.</w:t>
      </w:r>
    </w:p>
    <w:p w:rsidR="00C01B39" w:rsidRPr="00C76CFA" w:rsidRDefault="00C01B39" w:rsidP="00227BEA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Wejście w życie postanowień określonych w lp. 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69 i lp. 80 ww. załączników 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z mocą wsteczną jest konsekwencj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ą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wejścia 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życie przepisów ustawy z dnia 25 maja 2017 r. o zmianie ustawy o świadczeniach opieki zdrowotnej finansowanych ze środków publicznych oraz niektórych innych ustaw (Dz. U. poz. 1200) w części ratunkowego dostępu do technologii lekowych.</w:t>
      </w:r>
    </w:p>
    <w:p w:rsidR="00C01B39" w:rsidRPr="00C76CFA" w:rsidRDefault="00C01B39" w:rsidP="0011425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Przewidziany termin wejścia w 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ż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ycie przepis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ów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stanowi dostosowanie przepisów zarządzenia do </w:t>
      </w:r>
      <w:r w:rsidR="00A4064F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obowiązującego stanu prawnego</w:t>
      </w:r>
      <w:r w:rsidR="00227BE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.</w:t>
      </w:r>
    </w:p>
    <w:p w:rsidR="00114251" w:rsidRPr="00C76CFA" w:rsidRDefault="008965A4" w:rsidP="0011425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Projekt zarządzenia</w:t>
      </w:r>
      <w:r w:rsidR="00A7629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Prezesa Narodowego Funduszu Zd</w:t>
      </w:r>
      <w:r w:rsidR="000E2AFF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rowia, zgodnie z art. 146 ust. 4</w:t>
      </w:r>
      <w:r w:rsidR="00A7629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ustawy o świadczeniach oraz zgodnie z § 2 ust. 3 załącznika do rozporządzenia Ministra Zdrowia z dnia 8 września 2015 r. w s</w:t>
      </w:r>
      <w:r w:rsidR="000E2AFF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prawie ogólnych warunków umów o </w:t>
      </w:r>
      <w:r w:rsidR="00A7629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udzielanie świadcze</w:t>
      </w:r>
      <w:r w:rsidR="000E2AFF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ń opieki zdrowotnej (Dz. U. 2016</w:t>
      </w:r>
      <w:r w:rsidR="00A7629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r., p</w:t>
      </w:r>
      <w:r w:rsidR="000E2AFF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oz. 1146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), został </w:t>
      </w:r>
      <w:r w:rsidR="00A7629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przedstawi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on</w:t>
      </w:r>
      <w:r w:rsidR="003F14C2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y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do konsultacji zewnętrznych.</w:t>
      </w:r>
    </w:p>
    <w:p w:rsidR="00445F2F" w:rsidRPr="00C76CFA" w:rsidRDefault="00445F2F" w:rsidP="0011425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or</w:t>
      </w:r>
      <w:r w:rsidR="008B0FF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ganizacjom świadczeniodawców, w 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rozumieniu art. 31sb ust.1 ustawy o świadczeniach.</w:t>
      </w:r>
    </w:p>
    <w:p w:rsidR="00445F2F" w:rsidRPr="00C76CFA" w:rsidRDefault="00445F2F" w:rsidP="00445F2F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wyniku konsultacji </w:t>
      </w:r>
      <w:r w:rsidR="00D84768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32 </w:t>
      </w:r>
      <w:r w:rsidR="00694A8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podmioty</w:t>
      </w:r>
      <w:r w:rsidR="00992B3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zgłosiły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694A8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łącznie </w:t>
      </w:r>
      <w:r w:rsidR="00D84768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72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uwag</w:t>
      </w:r>
      <w:r w:rsidR="00694A8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i, przy czym od 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właściwych w sprawie podmiotów wpłynęło </w:t>
      </w:r>
      <w:r w:rsidR="004B07A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5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opini</w:t>
      </w:r>
      <w:r w:rsidR="004B07A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i</w:t>
      </w:r>
      <w:r w:rsidR="008B0FF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od konsultantów krajowych w </w:t>
      </w:r>
      <w:r w:rsidR="00D11EF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dziedzinie</w:t>
      </w:r>
      <w:r w:rsidR="00361B2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: anestezjologii i intensywnej terapii,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8B0FF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kardiologii i </w:t>
      </w:r>
      <w:r w:rsidR="00361B2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chirurgii naczyniowej</w:t>
      </w:r>
      <w:r w:rsidR="00361B2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br/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(</w:t>
      </w:r>
      <w:r w:rsidR="00361B2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4</w:t>
      </w:r>
      <w:r w:rsidR="008B0FF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opinie) i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8B0FFB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Naczelnej Rady Lekarskiej (1</w:t>
      </w:r>
      <w:r w:rsidR="00694A8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opinia).</w:t>
      </w:r>
    </w:p>
    <w:p w:rsidR="00445F2F" w:rsidRPr="00C76CFA" w:rsidRDefault="00445F2F" w:rsidP="00496881">
      <w:pPr>
        <w:spacing w:before="60" w:after="60" w:line="360" w:lineRule="auto"/>
        <w:ind w:firstLine="567"/>
        <w:jc w:val="both"/>
        <w:rPr>
          <w:spacing w:val="-6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>Przekazane uwagi w zde</w:t>
      </w:r>
      <w:r w:rsidR="00600BCD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cydowanej większości dotyczyły utrzymania rozliczenia interwencyjnego leczenia niestabilnej dusznicy bolesnej (wg ICD-1: I.20.0 oraz I.20.1) jako procedury nielimitowanej (uwagi w przedmiotowej kwestii przekazane zostały m.in. przez Konsultanta Krajowego w dziedzinie kardiologii, Naczelną Radę Lekarską, Instytut Kardiologii w Warszawie oraz Szpital Uniwersytecki w Krakowie). </w:t>
      </w:r>
      <w:r w:rsidR="006545F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uzasadnieniu do pozostawienia przedmiotowych rozpoznań w grupach E10, E11, E12G, E15 </w:t>
      </w:r>
      <w:r w:rsidR="006545F9" w:rsidRPr="00C76CFA">
        <w:rPr>
          <w:rFonts w:ascii="Arial" w:hAnsi="Arial" w:cs="Arial"/>
          <w:spacing w:val="-6"/>
          <w:sz w:val="24"/>
          <w:szCs w:val="24"/>
        </w:rPr>
        <w:t>a</w:t>
      </w:r>
      <w:r w:rsidR="00D66BA6" w:rsidRPr="00C76CFA">
        <w:rPr>
          <w:rFonts w:ascii="Arial" w:hAnsi="Arial" w:cs="Arial"/>
          <w:spacing w:val="-6"/>
          <w:sz w:val="24"/>
          <w:szCs w:val="24"/>
        </w:rPr>
        <w:t>rgument</w:t>
      </w:r>
      <w:r w:rsidR="006545F9" w:rsidRPr="00C76CFA">
        <w:rPr>
          <w:rFonts w:ascii="Arial" w:hAnsi="Arial" w:cs="Arial"/>
          <w:spacing w:val="-6"/>
          <w:sz w:val="24"/>
          <w:szCs w:val="24"/>
        </w:rPr>
        <w:t xml:space="preserve">owano, </w:t>
      </w:r>
      <w:r w:rsidR="00600BCD" w:rsidRPr="00C76CFA">
        <w:rPr>
          <w:rFonts w:ascii="Arial" w:hAnsi="Arial" w:cs="Arial"/>
          <w:spacing w:val="-6"/>
          <w:sz w:val="24"/>
          <w:szCs w:val="24"/>
        </w:rPr>
        <w:t xml:space="preserve">że </w:t>
      </w:r>
      <w:r w:rsidR="00496881" w:rsidRPr="00C76CFA">
        <w:rPr>
          <w:rFonts w:ascii="Arial" w:hAnsi="Arial" w:cs="Arial"/>
          <w:spacing w:val="-6"/>
          <w:sz w:val="24"/>
          <w:szCs w:val="24"/>
        </w:rPr>
        <w:t>wg zaleceń Europejskiego Towarzystwa Kardiologicznego (Kardiologia Polska 2015;73:1207-1294) najlepsze efekty wczesne i odległe we wszystkich postaciach ostrego zespołu wieńcowego (w tym w niestabilnej dusznicy</w:t>
      </w:r>
      <w:r w:rsidR="0098641E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496881" w:rsidRPr="00C76CFA">
        <w:rPr>
          <w:rFonts w:ascii="Arial" w:hAnsi="Arial" w:cs="Arial"/>
          <w:spacing w:val="-6"/>
          <w:sz w:val="24"/>
          <w:szCs w:val="24"/>
        </w:rPr>
        <w:t>- UA) przynosi odpowiednio wcześnie zastosowane leczenie zabiegowe. Nieuwzględnienie rozpoznań I20.0 i I20.1 (dusznica niestabilna) w</w:t>
      </w:r>
      <w:r w:rsidR="00142E38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496881" w:rsidRPr="00C76CFA">
        <w:rPr>
          <w:rFonts w:ascii="Arial" w:hAnsi="Arial" w:cs="Arial"/>
          <w:spacing w:val="-6"/>
          <w:sz w:val="24"/>
          <w:szCs w:val="24"/>
        </w:rPr>
        <w:t xml:space="preserve">zakresie kompleksowej opieki po zawale mięśnia sercowego oraz w zakresie specjalistycznych świadczeń kardiologicznych w ramach podstawowego systemu zabezpieczenia świadczeń, jako świadczeń nielimitowanych </w:t>
      </w:r>
      <w:r w:rsidR="006545F9" w:rsidRPr="00C76CFA">
        <w:rPr>
          <w:rFonts w:ascii="Arial" w:hAnsi="Arial" w:cs="Arial"/>
          <w:spacing w:val="-6"/>
          <w:sz w:val="24"/>
          <w:szCs w:val="24"/>
        </w:rPr>
        <w:t xml:space="preserve">spowoduje </w:t>
      </w:r>
      <w:r w:rsidR="00600BCD" w:rsidRPr="00C76CFA">
        <w:rPr>
          <w:rFonts w:ascii="Arial" w:hAnsi="Arial" w:cs="Arial"/>
          <w:spacing w:val="-6"/>
          <w:sz w:val="24"/>
          <w:szCs w:val="24"/>
        </w:rPr>
        <w:t>z</w:t>
      </w:r>
      <w:r w:rsidR="006545F9" w:rsidRPr="00C76CFA">
        <w:rPr>
          <w:rFonts w:ascii="Arial" w:hAnsi="Arial" w:cs="Arial"/>
          <w:spacing w:val="-6"/>
          <w:sz w:val="24"/>
          <w:szCs w:val="24"/>
        </w:rPr>
        <w:t>naczne ograniczenie dostępu do</w:t>
      </w:r>
      <w:r w:rsidR="00496881" w:rsidRPr="00C76CFA">
        <w:rPr>
          <w:rFonts w:ascii="Arial" w:hAnsi="Arial" w:cs="Arial"/>
          <w:spacing w:val="-6"/>
          <w:sz w:val="24"/>
          <w:szCs w:val="24"/>
        </w:rPr>
        <w:t xml:space="preserve"> </w:t>
      </w:r>
      <w:r w:rsidR="00600BCD" w:rsidRPr="00C76CFA">
        <w:rPr>
          <w:rFonts w:ascii="Arial" w:hAnsi="Arial" w:cs="Arial"/>
          <w:spacing w:val="-6"/>
          <w:sz w:val="24"/>
          <w:szCs w:val="24"/>
        </w:rPr>
        <w:t>leczenia inwazyjnego pacj</w:t>
      </w:r>
      <w:r w:rsidR="006545F9" w:rsidRPr="00C76CFA">
        <w:rPr>
          <w:rFonts w:ascii="Arial" w:hAnsi="Arial" w:cs="Arial"/>
          <w:spacing w:val="-6"/>
          <w:sz w:val="24"/>
          <w:szCs w:val="24"/>
        </w:rPr>
        <w:t xml:space="preserve">entów z zaawansowaną miażdżycą, znaczne pogorszenie się kondycji finansowej szpitali jak również </w:t>
      </w:r>
      <w:r w:rsidR="00496881" w:rsidRPr="00C76CFA">
        <w:rPr>
          <w:rFonts w:ascii="Arial" w:hAnsi="Arial" w:cs="Arial"/>
          <w:spacing w:val="-6"/>
          <w:sz w:val="24"/>
          <w:szCs w:val="24"/>
        </w:rPr>
        <w:t xml:space="preserve">może spowodować </w:t>
      </w:r>
      <w:r w:rsidR="00600BCD" w:rsidRPr="00C76CFA">
        <w:rPr>
          <w:rFonts w:ascii="Arial" w:hAnsi="Arial" w:cs="Arial"/>
          <w:spacing w:val="-6"/>
          <w:sz w:val="24"/>
          <w:szCs w:val="24"/>
        </w:rPr>
        <w:t>wymuszenie nieetycznych i sprzecznych z etyką zachowań</w:t>
      </w:r>
      <w:r w:rsidR="006545F9" w:rsidRPr="00C76CFA">
        <w:rPr>
          <w:rFonts w:ascii="Arial" w:hAnsi="Arial" w:cs="Arial"/>
          <w:spacing w:val="-6"/>
          <w:sz w:val="24"/>
          <w:szCs w:val="24"/>
        </w:rPr>
        <w:t xml:space="preserve"> lekarskich </w:t>
      </w:r>
      <w:r w:rsidR="00496881" w:rsidRPr="00C76CFA">
        <w:rPr>
          <w:rFonts w:ascii="Arial" w:hAnsi="Arial" w:cs="Arial"/>
          <w:spacing w:val="-6"/>
          <w:sz w:val="24"/>
          <w:szCs w:val="24"/>
        </w:rPr>
        <w:t xml:space="preserve">zmierzających </w:t>
      </w:r>
      <w:r w:rsidR="00600BCD" w:rsidRPr="00C76CFA">
        <w:rPr>
          <w:rFonts w:ascii="Arial" w:hAnsi="Arial" w:cs="Arial"/>
          <w:spacing w:val="-6"/>
          <w:sz w:val="24"/>
          <w:szCs w:val="24"/>
        </w:rPr>
        <w:t>do przesuwania w czasie pilnych interwencji kardiologicznyc</w:t>
      </w:r>
      <w:r w:rsidR="00496881" w:rsidRPr="00C76CFA">
        <w:rPr>
          <w:rFonts w:ascii="Arial" w:hAnsi="Arial" w:cs="Arial"/>
          <w:spacing w:val="-6"/>
          <w:sz w:val="24"/>
          <w:szCs w:val="24"/>
        </w:rPr>
        <w:t xml:space="preserve">h </w:t>
      </w:r>
      <w:r w:rsidR="00600BCD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– </w:t>
      </w:r>
      <w:r w:rsidR="0049688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uwagi </w:t>
      </w:r>
      <w:r w:rsidR="00600BCD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nie</w:t>
      </w:r>
      <w:r w:rsidR="0049688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zostały</w:t>
      </w:r>
      <w:r w:rsidR="00600BCD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49688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uwzględnione. W obecnym stanie prawnym brak jest podstaw do nielimitowego rozliczania świadczeń z rozpoznaniem dusznicy bolesnej w ramach grup dedykowanych do rozliczania leczenia ostrego zawału serca w umowach PSZ natomiast pozostawienie rozpoznań I20.0 i I20.1 w dotychczasowych charakterystykach grup (nielimitowanych) dla szpitali poza siecią, spowoduje nierówność podmiotów.</w:t>
      </w:r>
      <w:r w:rsidR="00496881" w:rsidRPr="00C76CFA">
        <w:rPr>
          <w:spacing w:val="-6"/>
        </w:rPr>
        <w:t xml:space="preserve"> </w:t>
      </w:r>
    </w:p>
    <w:p w:rsidR="00142E38" w:rsidRPr="00C76CFA" w:rsidRDefault="00025244" w:rsidP="0049688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Pozostałe zgłoszone w ramach konsultacji opinie i uwagi dotyczyły w szczególności:</w:t>
      </w:r>
    </w:p>
    <w:p w:rsidR="00025244" w:rsidRPr="00C76CFA" w:rsidRDefault="00025244" w:rsidP="00025244">
      <w:pPr>
        <w:pStyle w:val="Akapitzlist"/>
        <w:numPr>
          <w:ilvl w:val="0"/>
          <w:numId w:val="2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wyłączenia z finansowania z zastosowaniem współczynnika korygującego operacji żylaków kończyn dolnych realizowanych w ramach JGP: Q22, Q23, Q24 (uwaga przekazana przez Konsultanta Krajowego w dziedzinie chirurgii naczyniowej) </w:t>
      </w:r>
      <w:r w:rsidR="004438D0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–uwzględniono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025244" w:rsidRPr="00C76CFA" w:rsidRDefault="004438D0" w:rsidP="00992B3A">
      <w:pPr>
        <w:pStyle w:val="Akapitzlist"/>
        <w:numPr>
          <w:ilvl w:val="0"/>
          <w:numId w:val="2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rozszerzenia</w:t>
      </w:r>
      <w:r w:rsidR="0002524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wykazu opatrunków dedykowanych dla pacjentów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rozpoznaniem epidermolysis bullosa</w:t>
      </w:r>
      <w:r w:rsidR="0002524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 o</w:t>
      </w:r>
      <w:r w:rsidR="00992B3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patrunki UrgoTul ora</w:t>
      </w:r>
      <w:r w:rsidR="00E25D46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z</w:t>
      </w:r>
      <w:r w:rsidR="00992B3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UrgoTul Ag i ograniczenie listy rozpo</w:t>
      </w:r>
      <w:r w:rsidR="0002524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znań dla których winny być zabezpieczone opatru</w:t>
      </w:r>
      <w:r w:rsidR="00992B3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nki do: Q81.1, Q81.2 oraz Q81.8 –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uwzględniono</w:t>
      </w:r>
      <w:r w:rsidR="00992B3A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025244" w:rsidRPr="00C76CFA" w:rsidRDefault="00992B3A" w:rsidP="00025244">
      <w:pPr>
        <w:pStyle w:val="Akapitzlist"/>
        <w:numPr>
          <w:ilvl w:val="0"/>
          <w:numId w:val="2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umożliwienia</w:t>
      </w:r>
      <w:r w:rsidR="00025244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rozliczenia grup S13, S14 w zakresie onkologia i hematologia dziecięca –</w:t>
      </w:r>
      <w:r w:rsidR="004438D0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uwzględniono</w:t>
      </w:r>
      <w:r w:rsidR="00F2519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F25199" w:rsidRPr="00C76CFA" w:rsidRDefault="00A3305C" w:rsidP="00025244">
      <w:pPr>
        <w:pStyle w:val="Akapitzlist"/>
        <w:numPr>
          <w:ilvl w:val="0"/>
          <w:numId w:val="2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 xml:space="preserve">rozszerzenia </w:t>
      </w:r>
      <w:r w:rsidR="00F2519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zakresie oceny stanu p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acjenta według skali TISS – 28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br/>
      </w:r>
      <w:r w:rsidR="00F2519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katalog</w:t>
      </w:r>
      <w:r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>u</w:t>
      </w:r>
      <w:r w:rsidR="00F25199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4C52D1" w:rsidRPr="00C76CFA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elementarnych </w:t>
      </w:r>
      <w:r w:rsidR="004C52D1" w:rsidRPr="00C76CFA">
        <w:rPr>
          <w:rFonts w:ascii="Arial" w:hAnsi="Arial" w:cs="Arial"/>
          <w:sz w:val="24"/>
          <w:szCs w:val="24"/>
        </w:rPr>
        <w:t>czynności wykonywanych na rzecz pacjenta hospitalizowanego</w:t>
      </w:r>
      <w:r w:rsidRPr="00C76CFA">
        <w:rPr>
          <w:rFonts w:ascii="Arial" w:hAnsi="Arial" w:cs="Arial"/>
          <w:sz w:val="24"/>
          <w:szCs w:val="24"/>
        </w:rPr>
        <w:t xml:space="preserve"> </w:t>
      </w:r>
      <w:r w:rsidR="004C52D1" w:rsidRPr="00C76CFA">
        <w:rPr>
          <w:rFonts w:ascii="Arial" w:hAnsi="Arial" w:cs="Arial"/>
          <w:sz w:val="24"/>
          <w:szCs w:val="24"/>
        </w:rPr>
        <w:t>w oddziale anestezjologii i intensywnej terapi</w:t>
      </w:r>
      <w:r w:rsidRPr="00C76CFA">
        <w:rPr>
          <w:rFonts w:ascii="Arial" w:hAnsi="Arial" w:cs="Arial"/>
          <w:sz w:val="24"/>
          <w:szCs w:val="24"/>
        </w:rPr>
        <w:t xml:space="preserve">i (monitorowanie hemodynamiczne </w:t>
      </w:r>
      <w:r w:rsidR="004C52D1" w:rsidRPr="00C76CFA">
        <w:rPr>
          <w:rFonts w:ascii="Arial" w:hAnsi="Arial" w:cs="Arial"/>
          <w:sz w:val="24"/>
          <w:szCs w:val="24"/>
        </w:rPr>
        <w:t>za pomocą metod małoinwazyjnych oraz w zakresie innych pojedynczych interwencji)</w:t>
      </w:r>
      <w:r w:rsidRPr="00C76CFA">
        <w:rPr>
          <w:rFonts w:ascii="Arial" w:hAnsi="Arial" w:cs="Arial"/>
          <w:sz w:val="24"/>
          <w:szCs w:val="24"/>
        </w:rPr>
        <w:t>; dodania</w:t>
      </w:r>
      <w:r w:rsidR="000D5F2C" w:rsidRPr="00C76CFA">
        <w:rPr>
          <w:rFonts w:ascii="Arial" w:hAnsi="Arial" w:cs="Arial"/>
          <w:sz w:val="24"/>
          <w:szCs w:val="24"/>
        </w:rPr>
        <w:t xml:space="preserve"> </w:t>
      </w:r>
      <w:r w:rsidRPr="00C76CFA">
        <w:rPr>
          <w:rFonts w:ascii="Arial" w:hAnsi="Arial" w:cs="Arial"/>
          <w:sz w:val="24"/>
          <w:szCs w:val="24"/>
        </w:rPr>
        <w:t>możliwości</w:t>
      </w:r>
      <w:r w:rsidR="004C52D1" w:rsidRPr="00C76CFA">
        <w:rPr>
          <w:rFonts w:ascii="Arial" w:hAnsi="Arial" w:cs="Arial"/>
          <w:sz w:val="24"/>
          <w:szCs w:val="24"/>
        </w:rPr>
        <w:t xml:space="preserve"> rozliczania</w:t>
      </w:r>
      <w:r w:rsidRPr="00C76CFA">
        <w:rPr>
          <w:rFonts w:ascii="Arial" w:hAnsi="Arial" w:cs="Arial"/>
          <w:sz w:val="24"/>
          <w:szCs w:val="24"/>
        </w:rPr>
        <w:t xml:space="preserve"> kosztu jednorazowego zestawu </w:t>
      </w:r>
      <w:r w:rsidR="004C52D1" w:rsidRPr="00C76CFA">
        <w:rPr>
          <w:rFonts w:ascii="Arial" w:hAnsi="Arial" w:cs="Arial"/>
          <w:sz w:val="24"/>
          <w:szCs w:val="24"/>
        </w:rPr>
        <w:t>do pomiaru ciśnienia śródczaszkowego produktem z katalogu świadczeń</w:t>
      </w:r>
      <w:r w:rsidR="004C52D1" w:rsidRPr="00C76CFA">
        <w:rPr>
          <w:rFonts w:ascii="Arial" w:hAnsi="Arial" w:cs="Arial"/>
          <w:sz w:val="24"/>
          <w:szCs w:val="24"/>
        </w:rPr>
        <w:br/>
        <w:t xml:space="preserve">do sumowania (5.53.01.0001435 Wyrób medyczny nie </w:t>
      </w:r>
      <w:r w:rsidR="000D5F2C" w:rsidRPr="00C76CFA">
        <w:rPr>
          <w:rFonts w:ascii="Arial" w:hAnsi="Arial" w:cs="Arial"/>
          <w:sz w:val="24"/>
          <w:szCs w:val="24"/>
        </w:rPr>
        <w:t>zawarty w kosztach świadczenia) – uwagi przekazane przez Konsultanta Krajowego w dziedzinie anestezjologii i intensywnej terapii.</w:t>
      </w:r>
      <w:bookmarkStart w:id="0" w:name="_GoBack"/>
      <w:bookmarkEnd w:id="0"/>
    </w:p>
    <w:sectPr w:rsidR="00F25199" w:rsidRPr="00C76CFA" w:rsidSect="00F03A49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CE" w:rsidRDefault="004C4BCE" w:rsidP="0024036F">
      <w:pPr>
        <w:spacing w:after="0" w:line="240" w:lineRule="auto"/>
      </w:pPr>
      <w:r>
        <w:separator/>
      </w:r>
    </w:p>
  </w:endnote>
  <w:endnote w:type="continuationSeparator" w:id="0">
    <w:p w:rsidR="004C4BCE" w:rsidRDefault="004C4BCE" w:rsidP="002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2403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CF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4036F" w:rsidRDefault="00240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CE" w:rsidRDefault="004C4BCE" w:rsidP="0024036F">
      <w:pPr>
        <w:spacing w:after="0" w:line="240" w:lineRule="auto"/>
      </w:pPr>
      <w:r>
        <w:separator/>
      </w:r>
    </w:p>
  </w:footnote>
  <w:footnote w:type="continuationSeparator" w:id="0">
    <w:p w:rsidR="004C4BCE" w:rsidRDefault="004C4BCE" w:rsidP="0024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3DE8"/>
    <w:multiLevelType w:val="hybridMultilevel"/>
    <w:tmpl w:val="71EAB88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F1260"/>
    <w:multiLevelType w:val="hybridMultilevel"/>
    <w:tmpl w:val="40CC569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94C0771"/>
    <w:multiLevelType w:val="hybridMultilevel"/>
    <w:tmpl w:val="5170C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5A0A88"/>
    <w:multiLevelType w:val="hybridMultilevel"/>
    <w:tmpl w:val="66068C22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">
    <w:nsid w:val="2D433164"/>
    <w:multiLevelType w:val="hybridMultilevel"/>
    <w:tmpl w:val="C022845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E28B4"/>
    <w:multiLevelType w:val="hybridMultilevel"/>
    <w:tmpl w:val="7AA6AC7C"/>
    <w:lvl w:ilvl="0" w:tplc="5FE2FA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D35E46"/>
    <w:multiLevelType w:val="hybridMultilevel"/>
    <w:tmpl w:val="C984629A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54232"/>
    <w:multiLevelType w:val="hybridMultilevel"/>
    <w:tmpl w:val="B82C0706"/>
    <w:lvl w:ilvl="0" w:tplc="D500ED32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9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0A6F67"/>
    <w:multiLevelType w:val="hybridMultilevel"/>
    <w:tmpl w:val="DA765F0C"/>
    <w:lvl w:ilvl="0" w:tplc="9B84AF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1DC468C"/>
    <w:multiLevelType w:val="hybridMultilevel"/>
    <w:tmpl w:val="1E7241D4"/>
    <w:lvl w:ilvl="0" w:tplc="5F64F3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4D7EB6"/>
    <w:multiLevelType w:val="hybridMultilevel"/>
    <w:tmpl w:val="FEDAB618"/>
    <w:lvl w:ilvl="0" w:tplc="F52C474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830DC7"/>
    <w:multiLevelType w:val="hybridMultilevel"/>
    <w:tmpl w:val="962A38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231636B"/>
    <w:multiLevelType w:val="hybridMultilevel"/>
    <w:tmpl w:val="8790FE76"/>
    <w:lvl w:ilvl="0" w:tplc="1D5A5A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81AE7"/>
    <w:multiLevelType w:val="hybridMultilevel"/>
    <w:tmpl w:val="579EC588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A3A35D2"/>
    <w:multiLevelType w:val="hybridMultilevel"/>
    <w:tmpl w:val="DA0A3726"/>
    <w:lvl w:ilvl="0" w:tplc="43A8ED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A9976CE"/>
    <w:multiLevelType w:val="hybridMultilevel"/>
    <w:tmpl w:val="558080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F7063"/>
    <w:multiLevelType w:val="hybridMultilevel"/>
    <w:tmpl w:val="C042480A"/>
    <w:lvl w:ilvl="0" w:tplc="43A8E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5BBF0974"/>
    <w:multiLevelType w:val="hybridMultilevel"/>
    <w:tmpl w:val="8F2E64C8"/>
    <w:lvl w:ilvl="0" w:tplc="31562898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02DBE"/>
    <w:multiLevelType w:val="hybridMultilevel"/>
    <w:tmpl w:val="3DF8AC44"/>
    <w:lvl w:ilvl="0" w:tplc="5F64F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E3E4E"/>
    <w:multiLevelType w:val="hybridMultilevel"/>
    <w:tmpl w:val="C896CCEE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5">
    <w:nsid w:val="70507EB2"/>
    <w:multiLevelType w:val="hybridMultilevel"/>
    <w:tmpl w:val="6DAA69E6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1D83218"/>
    <w:multiLevelType w:val="multilevel"/>
    <w:tmpl w:val="E11ED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5F2771"/>
    <w:multiLevelType w:val="hybridMultilevel"/>
    <w:tmpl w:val="9CECB2B6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A281731"/>
    <w:multiLevelType w:val="hybridMultilevel"/>
    <w:tmpl w:val="51246744"/>
    <w:lvl w:ilvl="0" w:tplc="DFC2D0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9"/>
  </w:num>
  <w:num w:numId="5">
    <w:abstractNumId w:val="0"/>
  </w:num>
  <w:num w:numId="6">
    <w:abstractNumId w:val="19"/>
  </w:num>
  <w:num w:numId="7">
    <w:abstractNumId w:val="26"/>
  </w:num>
  <w:num w:numId="8">
    <w:abstractNumId w:val="5"/>
  </w:num>
  <w:num w:numId="9">
    <w:abstractNumId w:val="28"/>
  </w:num>
  <w:num w:numId="10">
    <w:abstractNumId w:val="15"/>
  </w:num>
  <w:num w:numId="11">
    <w:abstractNumId w:val="25"/>
  </w:num>
  <w:num w:numId="12">
    <w:abstractNumId w:val="17"/>
  </w:num>
  <w:num w:numId="13">
    <w:abstractNumId w:val="8"/>
  </w:num>
  <w:num w:numId="14">
    <w:abstractNumId w:val="20"/>
  </w:num>
  <w:num w:numId="15">
    <w:abstractNumId w:val="2"/>
  </w:num>
  <w:num w:numId="16">
    <w:abstractNumId w:val="27"/>
  </w:num>
  <w:num w:numId="17">
    <w:abstractNumId w:val="1"/>
  </w:num>
  <w:num w:numId="18">
    <w:abstractNumId w:val="10"/>
  </w:num>
  <w:num w:numId="19">
    <w:abstractNumId w:val="12"/>
  </w:num>
  <w:num w:numId="20">
    <w:abstractNumId w:val="3"/>
  </w:num>
  <w:num w:numId="21">
    <w:abstractNumId w:val="6"/>
  </w:num>
  <w:num w:numId="22">
    <w:abstractNumId w:val="11"/>
  </w:num>
  <w:num w:numId="23">
    <w:abstractNumId w:val="4"/>
  </w:num>
  <w:num w:numId="24">
    <w:abstractNumId w:val="22"/>
  </w:num>
  <w:num w:numId="25">
    <w:abstractNumId w:val="24"/>
  </w:num>
  <w:num w:numId="26">
    <w:abstractNumId w:val="18"/>
  </w:num>
  <w:num w:numId="27">
    <w:abstractNumId w:val="21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266C"/>
    <w:rsid w:val="000154BA"/>
    <w:rsid w:val="0002265B"/>
    <w:rsid w:val="00025244"/>
    <w:rsid w:val="000252CA"/>
    <w:rsid w:val="000334D1"/>
    <w:rsid w:val="00040114"/>
    <w:rsid w:val="000458C4"/>
    <w:rsid w:val="00050380"/>
    <w:rsid w:val="000539C9"/>
    <w:rsid w:val="00063842"/>
    <w:rsid w:val="00063B15"/>
    <w:rsid w:val="0007602F"/>
    <w:rsid w:val="00086079"/>
    <w:rsid w:val="00086352"/>
    <w:rsid w:val="00090B7D"/>
    <w:rsid w:val="000955C5"/>
    <w:rsid w:val="000A119F"/>
    <w:rsid w:val="000A4E1E"/>
    <w:rsid w:val="000B300D"/>
    <w:rsid w:val="000C003E"/>
    <w:rsid w:val="000D543C"/>
    <w:rsid w:val="000D5F2C"/>
    <w:rsid w:val="000D7F77"/>
    <w:rsid w:val="000E0F7C"/>
    <w:rsid w:val="000E2AFF"/>
    <w:rsid w:val="000F437B"/>
    <w:rsid w:val="001016C0"/>
    <w:rsid w:val="00113F4A"/>
    <w:rsid w:val="00114251"/>
    <w:rsid w:val="00117398"/>
    <w:rsid w:val="00123444"/>
    <w:rsid w:val="00142E38"/>
    <w:rsid w:val="001537EC"/>
    <w:rsid w:val="001550B9"/>
    <w:rsid w:val="00156BB9"/>
    <w:rsid w:val="00166183"/>
    <w:rsid w:val="00167168"/>
    <w:rsid w:val="00167D36"/>
    <w:rsid w:val="00167F85"/>
    <w:rsid w:val="00170994"/>
    <w:rsid w:val="00185A51"/>
    <w:rsid w:val="00195119"/>
    <w:rsid w:val="00195C94"/>
    <w:rsid w:val="00196FB0"/>
    <w:rsid w:val="001A5F9B"/>
    <w:rsid w:val="001B2F53"/>
    <w:rsid w:val="001B417C"/>
    <w:rsid w:val="001B4852"/>
    <w:rsid w:val="001C000A"/>
    <w:rsid w:val="001C25C0"/>
    <w:rsid w:val="001C7EDB"/>
    <w:rsid w:val="001D3313"/>
    <w:rsid w:val="001F0221"/>
    <w:rsid w:val="001F43EB"/>
    <w:rsid w:val="00205E0F"/>
    <w:rsid w:val="00221816"/>
    <w:rsid w:val="00225F64"/>
    <w:rsid w:val="00227BEA"/>
    <w:rsid w:val="002317A5"/>
    <w:rsid w:val="002343FB"/>
    <w:rsid w:val="00235840"/>
    <w:rsid w:val="0024036F"/>
    <w:rsid w:val="00253C36"/>
    <w:rsid w:val="00257238"/>
    <w:rsid w:val="00262BB3"/>
    <w:rsid w:val="00267944"/>
    <w:rsid w:val="0027242C"/>
    <w:rsid w:val="002873F6"/>
    <w:rsid w:val="002928F5"/>
    <w:rsid w:val="002A19B6"/>
    <w:rsid w:val="002B06D3"/>
    <w:rsid w:val="002B0B3B"/>
    <w:rsid w:val="002B3E2E"/>
    <w:rsid w:val="002C4BB3"/>
    <w:rsid w:val="002D0D22"/>
    <w:rsid w:val="002D4026"/>
    <w:rsid w:val="002D6FFD"/>
    <w:rsid w:val="002D778A"/>
    <w:rsid w:val="002E161C"/>
    <w:rsid w:val="002E1EA4"/>
    <w:rsid w:val="002E264D"/>
    <w:rsid w:val="002E4AC4"/>
    <w:rsid w:val="002F5F0A"/>
    <w:rsid w:val="00306BE2"/>
    <w:rsid w:val="00316B75"/>
    <w:rsid w:val="003248FF"/>
    <w:rsid w:val="0033198A"/>
    <w:rsid w:val="00331A16"/>
    <w:rsid w:val="00361B24"/>
    <w:rsid w:val="003770F4"/>
    <w:rsid w:val="00392A6E"/>
    <w:rsid w:val="00392D1E"/>
    <w:rsid w:val="003959C3"/>
    <w:rsid w:val="003A287F"/>
    <w:rsid w:val="003A36DA"/>
    <w:rsid w:val="003A46CB"/>
    <w:rsid w:val="003B0CD5"/>
    <w:rsid w:val="003C4DD6"/>
    <w:rsid w:val="003D527C"/>
    <w:rsid w:val="003E3162"/>
    <w:rsid w:val="003F14C2"/>
    <w:rsid w:val="003F5216"/>
    <w:rsid w:val="003F5F27"/>
    <w:rsid w:val="004039D1"/>
    <w:rsid w:val="00406F59"/>
    <w:rsid w:val="00423B43"/>
    <w:rsid w:val="004316BE"/>
    <w:rsid w:val="00440314"/>
    <w:rsid w:val="004438D0"/>
    <w:rsid w:val="00445F2F"/>
    <w:rsid w:val="00470CDC"/>
    <w:rsid w:val="004735A6"/>
    <w:rsid w:val="0047734A"/>
    <w:rsid w:val="004853A3"/>
    <w:rsid w:val="00494414"/>
    <w:rsid w:val="00496881"/>
    <w:rsid w:val="004A4B07"/>
    <w:rsid w:val="004B0738"/>
    <w:rsid w:val="004B07A1"/>
    <w:rsid w:val="004C0BF6"/>
    <w:rsid w:val="004C24A8"/>
    <w:rsid w:val="004C4BCE"/>
    <w:rsid w:val="004C52D1"/>
    <w:rsid w:val="004D46E8"/>
    <w:rsid w:val="004D4A9A"/>
    <w:rsid w:val="004D5941"/>
    <w:rsid w:val="004D6054"/>
    <w:rsid w:val="004D76F8"/>
    <w:rsid w:val="00503440"/>
    <w:rsid w:val="00506B97"/>
    <w:rsid w:val="00523BB4"/>
    <w:rsid w:val="00524197"/>
    <w:rsid w:val="00536C98"/>
    <w:rsid w:val="00540ABE"/>
    <w:rsid w:val="005525ED"/>
    <w:rsid w:val="00552ABC"/>
    <w:rsid w:val="005569E4"/>
    <w:rsid w:val="00564AEB"/>
    <w:rsid w:val="00565228"/>
    <w:rsid w:val="00570506"/>
    <w:rsid w:val="00585123"/>
    <w:rsid w:val="005A7E7B"/>
    <w:rsid w:val="005B4AEE"/>
    <w:rsid w:val="005B64A3"/>
    <w:rsid w:val="005C05C4"/>
    <w:rsid w:val="005C43FE"/>
    <w:rsid w:val="005C769E"/>
    <w:rsid w:val="005E1833"/>
    <w:rsid w:val="005E356D"/>
    <w:rsid w:val="005F03BC"/>
    <w:rsid w:val="005F30F6"/>
    <w:rsid w:val="005F78B4"/>
    <w:rsid w:val="00600BCD"/>
    <w:rsid w:val="00600FDB"/>
    <w:rsid w:val="00601309"/>
    <w:rsid w:val="006034A3"/>
    <w:rsid w:val="0060359C"/>
    <w:rsid w:val="00612BED"/>
    <w:rsid w:val="00612C20"/>
    <w:rsid w:val="00616E4E"/>
    <w:rsid w:val="006241F4"/>
    <w:rsid w:val="00624B38"/>
    <w:rsid w:val="00624D2F"/>
    <w:rsid w:val="006545F9"/>
    <w:rsid w:val="00655D1C"/>
    <w:rsid w:val="0067144E"/>
    <w:rsid w:val="00672E75"/>
    <w:rsid w:val="00686A97"/>
    <w:rsid w:val="006928C2"/>
    <w:rsid w:val="00694A84"/>
    <w:rsid w:val="00695551"/>
    <w:rsid w:val="006A3498"/>
    <w:rsid w:val="006A66D3"/>
    <w:rsid w:val="006B1583"/>
    <w:rsid w:val="006B4899"/>
    <w:rsid w:val="006B7151"/>
    <w:rsid w:val="006C083B"/>
    <w:rsid w:val="006C0B05"/>
    <w:rsid w:val="006D6F36"/>
    <w:rsid w:val="006E6638"/>
    <w:rsid w:val="006F0836"/>
    <w:rsid w:val="006F4AF4"/>
    <w:rsid w:val="006F52F2"/>
    <w:rsid w:val="007002FC"/>
    <w:rsid w:val="0070516E"/>
    <w:rsid w:val="00710D3B"/>
    <w:rsid w:val="00713780"/>
    <w:rsid w:val="007226F9"/>
    <w:rsid w:val="00734D1A"/>
    <w:rsid w:val="00734DB9"/>
    <w:rsid w:val="0073510E"/>
    <w:rsid w:val="00740080"/>
    <w:rsid w:val="00741E3B"/>
    <w:rsid w:val="00743089"/>
    <w:rsid w:val="00750C8B"/>
    <w:rsid w:val="00754B28"/>
    <w:rsid w:val="007622A7"/>
    <w:rsid w:val="00763607"/>
    <w:rsid w:val="00767F2E"/>
    <w:rsid w:val="007729C0"/>
    <w:rsid w:val="007738A9"/>
    <w:rsid w:val="00780A53"/>
    <w:rsid w:val="00794DDB"/>
    <w:rsid w:val="007A6C5F"/>
    <w:rsid w:val="007A76DC"/>
    <w:rsid w:val="007B5AD4"/>
    <w:rsid w:val="007C7BFE"/>
    <w:rsid w:val="007E72F6"/>
    <w:rsid w:val="007F225B"/>
    <w:rsid w:val="007F509C"/>
    <w:rsid w:val="008034EB"/>
    <w:rsid w:val="008104EB"/>
    <w:rsid w:val="00815E0C"/>
    <w:rsid w:val="00822F51"/>
    <w:rsid w:val="008248B2"/>
    <w:rsid w:val="00827790"/>
    <w:rsid w:val="00827E25"/>
    <w:rsid w:val="00831FF8"/>
    <w:rsid w:val="00837F0B"/>
    <w:rsid w:val="00847E4E"/>
    <w:rsid w:val="00854CA3"/>
    <w:rsid w:val="00862CCB"/>
    <w:rsid w:val="00873AFF"/>
    <w:rsid w:val="008764C3"/>
    <w:rsid w:val="00880049"/>
    <w:rsid w:val="00880A85"/>
    <w:rsid w:val="008904B8"/>
    <w:rsid w:val="00891C92"/>
    <w:rsid w:val="00894AD4"/>
    <w:rsid w:val="008965A4"/>
    <w:rsid w:val="008B0FFB"/>
    <w:rsid w:val="008B1FA6"/>
    <w:rsid w:val="008B66B6"/>
    <w:rsid w:val="008C530A"/>
    <w:rsid w:val="008C5E76"/>
    <w:rsid w:val="008D180A"/>
    <w:rsid w:val="008D6AAD"/>
    <w:rsid w:val="008E75BC"/>
    <w:rsid w:val="008F077E"/>
    <w:rsid w:val="008F08CD"/>
    <w:rsid w:val="008F5AE3"/>
    <w:rsid w:val="008F7863"/>
    <w:rsid w:val="00900B36"/>
    <w:rsid w:val="00905B6A"/>
    <w:rsid w:val="0091179E"/>
    <w:rsid w:val="0091259E"/>
    <w:rsid w:val="00924C5B"/>
    <w:rsid w:val="00937A8E"/>
    <w:rsid w:val="00953038"/>
    <w:rsid w:val="0095421C"/>
    <w:rsid w:val="00962B2F"/>
    <w:rsid w:val="00966EE6"/>
    <w:rsid w:val="00983D96"/>
    <w:rsid w:val="00984404"/>
    <w:rsid w:val="0098641E"/>
    <w:rsid w:val="00992B3A"/>
    <w:rsid w:val="00995273"/>
    <w:rsid w:val="00997C66"/>
    <w:rsid w:val="009C05FA"/>
    <w:rsid w:val="009C6DE0"/>
    <w:rsid w:val="009D2814"/>
    <w:rsid w:val="009D354B"/>
    <w:rsid w:val="009E7A4A"/>
    <w:rsid w:val="009F4BA6"/>
    <w:rsid w:val="009F5840"/>
    <w:rsid w:val="00A147D5"/>
    <w:rsid w:val="00A3305C"/>
    <w:rsid w:val="00A4064F"/>
    <w:rsid w:val="00A40E42"/>
    <w:rsid w:val="00A42E98"/>
    <w:rsid w:val="00A47DEE"/>
    <w:rsid w:val="00A55D55"/>
    <w:rsid w:val="00A66ABD"/>
    <w:rsid w:val="00A70170"/>
    <w:rsid w:val="00A7364F"/>
    <w:rsid w:val="00A76294"/>
    <w:rsid w:val="00A76531"/>
    <w:rsid w:val="00A77F50"/>
    <w:rsid w:val="00A84974"/>
    <w:rsid w:val="00A90B30"/>
    <w:rsid w:val="00A93D28"/>
    <w:rsid w:val="00A94BFA"/>
    <w:rsid w:val="00AD0A83"/>
    <w:rsid w:val="00AD380D"/>
    <w:rsid w:val="00AD6E37"/>
    <w:rsid w:val="00AE2BD1"/>
    <w:rsid w:val="00AF13EC"/>
    <w:rsid w:val="00B10301"/>
    <w:rsid w:val="00B111F9"/>
    <w:rsid w:val="00B21237"/>
    <w:rsid w:val="00B375B7"/>
    <w:rsid w:val="00B37951"/>
    <w:rsid w:val="00B54277"/>
    <w:rsid w:val="00B57DF3"/>
    <w:rsid w:val="00B677BD"/>
    <w:rsid w:val="00B72DF0"/>
    <w:rsid w:val="00B75EF3"/>
    <w:rsid w:val="00B86D7A"/>
    <w:rsid w:val="00B91A36"/>
    <w:rsid w:val="00B93B49"/>
    <w:rsid w:val="00B959CF"/>
    <w:rsid w:val="00BB2837"/>
    <w:rsid w:val="00BB6350"/>
    <w:rsid w:val="00BC3F4A"/>
    <w:rsid w:val="00BD338A"/>
    <w:rsid w:val="00BD3893"/>
    <w:rsid w:val="00BF3041"/>
    <w:rsid w:val="00BF7E33"/>
    <w:rsid w:val="00C01B39"/>
    <w:rsid w:val="00C253B3"/>
    <w:rsid w:val="00C309C4"/>
    <w:rsid w:val="00C46D82"/>
    <w:rsid w:val="00C4746C"/>
    <w:rsid w:val="00C52E2A"/>
    <w:rsid w:val="00C6103C"/>
    <w:rsid w:val="00C65129"/>
    <w:rsid w:val="00C73B8B"/>
    <w:rsid w:val="00C76CFA"/>
    <w:rsid w:val="00C77A24"/>
    <w:rsid w:val="00C843A6"/>
    <w:rsid w:val="00C855F5"/>
    <w:rsid w:val="00C9090F"/>
    <w:rsid w:val="00C9592C"/>
    <w:rsid w:val="00C96CDF"/>
    <w:rsid w:val="00CA66FC"/>
    <w:rsid w:val="00CB701D"/>
    <w:rsid w:val="00CD17D3"/>
    <w:rsid w:val="00CD40E5"/>
    <w:rsid w:val="00CE0910"/>
    <w:rsid w:val="00CE4C35"/>
    <w:rsid w:val="00CE549D"/>
    <w:rsid w:val="00CF3B3F"/>
    <w:rsid w:val="00CF47A0"/>
    <w:rsid w:val="00D0073C"/>
    <w:rsid w:val="00D11EF4"/>
    <w:rsid w:val="00D20108"/>
    <w:rsid w:val="00D2773C"/>
    <w:rsid w:val="00D34876"/>
    <w:rsid w:val="00D374B0"/>
    <w:rsid w:val="00D43FBB"/>
    <w:rsid w:val="00D64AE5"/>
    <w:rsid w:val="00D66BA6"/>
    <w:rsid w:val="00D84768"/>
    <w:rsid w:val="00D9131D"/>
    <w:rsid w:val="00D933B9"/>
    <w:rsid w:val="00D93E62"/>
    <w:rsid w:val="00DA14A3"/>
    <w:rsid w:val="00DA5C15"/>
    <w:rsid w:val="00DB15BF"/>
    <w:rsid w:val="00DF2B70"/>
    <w:rsid w:val="00DF4243"/>
    <w:rsid w:val="00E07185"/>
    <w:rsid w:val="00E1442A"/>
    <w:rsid w:val="00E16DA5"/>
    <w:rsid w:val="00E17E07"/>
    <w:rsid w:val="00E25D46"/>
    <w:rsid w:val="00E33C85"/>
    <w:rsid w:val="00E36082"/>
    <w:rsid w:val="00E3648C"/>
    <w:rsid w:val="00E530F9"/>
    <w:rsid w:val="00E671DD"/>
    <w:rsid w:val="00E6733B"/>
    <w:rsid w:val="00E7092F"/>
    <w:rsid w:val="00E75AAB"/>
    <w:rsid w:val="00E76D33"/>
    <w:rsid w:val="00E82093"/>
    <w:rsid w:val="00E87F99"/>
    <w:rsid w:val="00E92BAF"/>
    <w:rsid w:val="00EA4C24"/>
    <w:rsid w:val="00EB48F0"/>
    <w:rsid w:val="00EC1092"/>
    <w:rsid w:val="00EC54D5"/>
    <w:rsid w:val="00EE0087"/>
    <w:rsid w:val="00EE6130"/>
    <w:rsid w:val="00F03A49"/>
    <w:rsid w:val="00F16800"/>
    <w:rsid w:val="00F1795D"/>
    <w:rsid w:val="00F25199"/>
    <w:rsid w:val="00F357D0"/>
    <w:rsid w:val="00F44FAF"/>
    <w:rsid w:val="00F45658"/>
    <w:rsid w:val="00F51E9C"/>
    <w:rsid w:val="00FA59D1"/>
    <w:rsid w:val="00FA617C"/>
    <w:rsid w:val="00FB56E7"/>
    <w:rsid w:val="00FC0FC5"/>
    <w:rsid w:val="00FC6409"/>
    <w:rsid w:val="00FD153A"/>
    <w:rsid w:val="00FD59EC"/>
    <w:rsid w:val="00FE7210"/>
    <w:rsid w:val="00FF1A15"/>
    <w:rsid w:val="00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7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7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7A0"/>
    <w:rPr>
      <w:vertAlign w:val="superscript"/>
    </w:rPr>
  </w:style>
  <w:style w:type="paragraph" w:styleId="Bezodstpw">
    <w:name w:val="No Spacing"/>
    <w:uiPriority w:val="1"/>
    <w:qFormat/>
    <w:rsid w:val="00600BC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7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7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7A0"/>
    <w:rPr>
      <w:vertAlign w:val="superscript"/>
    </w:rPr>
  </w:style>
  <w:style w:type="paragraph" w:styleId="Bezodstpw">
    <w:name w:val="No Spacing"/>
    <w:uiPriority w:val="1"/>
    <w:qFormat/>
    <w:rsid w:val="00600BC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F35A-80FB-4D38-803C-974BB897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1796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Kubielas Grzegorz</cp:lastModifiedBy>
  <cp:revision>3</cp:revision>
  <cp:lastPrinted>2017-08-22T07:27:00Z</cp:lastPrinted>
  <dcterms:created xsi:type="dcterms:W3CDTF">2017-08-22T09:27:00Z</dcterms:created>
  <dcterms:modified xsi:type="dcterms:W3CDTF">2017-08-22T09:27:00Z</dcterms:modified>
</cp:coreProperties>
</file>