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36" w:rsidRPr="00585123" w:rsidRDefault="002873F6" w:rsidP="007430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5123">
        <w:rPr>
          <w:rFonts w:ascii="Arial" w:hAnsi="Arial" w:cs="Arial"/>
          <w:b/>
          <w:sz w:val="24"/>
          <w:szCs w:val="24"/>
        </w:rPr>
        <w:t>Uzasadnienie</w:t>
      </w:r>
    </w:p>
    <w:p w:rsidR="00D933B9" w:rsidRPr="00585123" w:rsidRDefault="001F43EB" w:rsidP="001550B9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>Z</w:t>
      </w:r>
      <w:r w:rsidR="00743089" w:rsidRPr="00585123">
        <w:rPr>
          <w:rFonts w:ascii="Arial" w:hAnsi="Arial" w:cs="Arial"/>
          <w:spacing w:val="-6"/>
          <w:sz w:val="24"/>
          <w:szCs w:val="24"/>
        </w:rPr>
        <w:t xml:space="preserve">arządzenie </w:t>
      </w:r>
      <w:r w:rsidR="006C083B" w:rsidRPr="00585123">
        <w:rPr>
          <w:rFonts w:ascii="Arial" w:hAnsi="Arial" w:cs="Arial"/>
          <w:spacing w:val="-6"/>
          <w:sz w:val="24"/>
          <w:szCs w:val="24"/>
        </w:rPr>
        <w:t>stanowi wykonanie</w:t>
      </w:r>
      <w:r w:rsidR="00D933B9" w:rsidRPr="00585123">
        <w:rPr>
          <w:rFonts w:ascii="Arial" w:hAnsi="Arial" w:cs="Arial"/>
          <w:spacing w:val="-6"/>
          <w:sz w:val="24"/>
          <w:szCs w:val="24"/>
        </w:rPr>
        <w:t xml:space="preserve"> upoważnienia </w:t>
      </w:r>
      <w:r w:rsidR="006C083B" w:rsidRPr="00585123">
        <w:rPr>
          <w:rFonts w:ascii="Arial" w:hAnsi="Arial" w:cs="Arial"/>
          <w:spacing w:val="-6"/>
          <w:sz w:val="24"/>
          <w:szCs w:val="24"/>
        </w:rPr>
        <w:t xml:space="preserve">ustawowego </w:t>
      </w:r>
      <w:r w:rsidR="00D933B9" w:rsidRPr="00585123">
        <w:rPr>
          <w:rFonts w:ascii="Arial" w:hAnsi="Arial" w:cs="Arial"/>
          <w:spacing w:val="-6"/>
          <w:sz w:val="24"/>
          <w:szCs w:val="24"/>
        </w:rPr>
        <w:t>zawartego w art. 146 ust. 1 ustawy z dnia 27 sierpnia 2004 r. o świadczeniach opieki zdrowotnej finansowanych ze środków publicznych</w:t>
      </w:r>
      <w:r w:rsidR="006C083B" w:rsidRPr="00585123">
        <w:rPr>
          <w:rFonts w:ascii="Arial" w:hAnsi="Arial" w:cs="Arial"/>
          <w:spacing w:val="-6"/>
          <w:sz w:val="24"/>
          <w:szCs w:val="24"/>
        </w:rPr>
        <w:t xml:space="preserve"> (Dz. U. z 2016 r. poz. 1793</w:t>
      </w:r>
      <w:r w:rsidR="00D20108" w:rsidRPr="00585123">
        <w:rPr>
          <w:rFonts w:ascii="Arial" w:hAnsi="Arial" w:cs="Arial"/>
          <w:spacing w:val="-6"/>
          <w:sz w:val="24"/>
          <w:szCs w:val="24"/>
        </w:rPr>
        <w:t xml:space="preserve"> ze zm.), zwanej dalej „ustawą o świadczeniach”.</w:t>
      </w:r>
    </w:p>
    <w:p w:rsidR="00F357D0" w:rsidRPr="00585123" w:rsidRDefault="00CD40E5" w:rsidP="00F357D0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>Zmiany wprowadzo</w:t>
      </w:r>
      <w:r w:rsidR="00D933B9" w:rsidRPr="00585123">
        <w:rPr>
          <w:rFonts w:ascii="Arial" w:hAnsi="Arial" w:cs="Arial"/>
          <w:spacing w:val="-6"/>
          <w:sz w:val="24"/>
          <w:szCs w:val="24"/>
        </w:rPr>
        <w:t xml:space="preserve">ne </w:t>
      </w:r>
      <w:r w:rsidR="00267944" w:rsidRPr="00585123">
        <w:rPr>
          <w:rFonts w:ascii="Arial" w:hAnsi="Arial" w:cs="Arial"/>
          <w:spacing w:val="-6"/>
          <w:sz w:val="24"/>
          <w:szCs w:val="24"/>
        </w:rPr>
        <w:t xml:space="preserve">niniejszym zarządzeniem, zmieniającym </w:t>
      </w:r>
      <w:r w:rsidR="00267944" w:rsidRPr="00585123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 w:rsidR="00267944" w:rsidRPr="00585123">
        <w:rPr>
          <w:rFonts w:ascii="Arial" w:hAnsi="Arial" w:cs="Arial"/>
          <w:spacing w:val="-6"/>
          <w:sz w:val="24"/>
          <w:szCs w:val="24"/>
        </w:rPr>
        <w:t>Nr 71/2016/DSOZ Prezesa NFZ z dnia 30 czerwca 2016 r.</w:t>
      </w:r>
      <w:r w:rsidR="00267944" w:rsidRPr="00585123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="00267944" w:rsidRPr="00585123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 xml:space="preserve">w sprawie </w:t>
      </w:r>
      <w:r w:rsidR="00267944" w:rsidRPr="00585123">
        <w:rPr>
          <w:rFonts w:ascii="Arial" w:eastAsia="Times New Roman" w:hAnsi="Arial" w:cs="Arial"/>
          <w:spacing w:val="-6"/>
          <w:kern w:val="32"/>
          <w:sz w:val="24"/>
          <w:szCs w:val="24"/>
          <w:lang w:eastAsia="pl-PL"/>
        </w:rPr>
        <w:t xml:space="preserve">określenia warunków zawierania i realizacji umów w rodzaju </w:t>
      </w:r>
      <w:r w:rsidR="002F5F0A" w:rsidRPr="00585123">
        <w:rPr>
          <w:rFonts w:ascii="Arial" w:eastAsia="Times New Roman" w:hAnsi="Arial" w:cs="Arial"/>
          <w:bCs/>
          <w:spacing w:val="-6"/>
          <w:sz w:val="24"/>
          <w:szCs w:val="24"/>
          <w:lang w:eastAsia="pl-PL"/>
        </w:rPr>
        <w:t>leczenie szpitalne</w:t>
      </w:r>
      <w:r w:rsidR="006D6F36" w:rsidRPr="00585123">
        <w:rPr>
          <w:rFonts w:ascii="Arial" w:hAnsi="Arial" w:cs="Arial"/>
          <w:spacing w:val="-6"/>
          <w:sz w:val="24"/>
          <w:szCs w:val="24"/>
        </w:rPr>
        <w:t xml:space="preserve">, </w:t>
      </w:r>
      <w:r w:rsidR="000154BA" w:rsidRPr="00585123">
        <w:rPr>
          <w:rFonts w:ascii="Arial" w:hAnsi="Arial" w:cs="Arial"/>
          <w:spacing w:val="-6"/>
          <w:sz w:val="24"/>
          <w:szCs w:val="24"/>
        </w:rPr>
        <w:t>związane są </w:t>
      </w:r>
      <w:r w:rsidR="00AD380D" w:rsidRPr="00585123">
        <w:rPr>
          <w:rFonts w:ascii="Arial" w:hAnsi="Arial" w:cs="Arial"/>
          <w:spacing w:val="-6"/>
          <w:sz w:val="24"/>
          <w:szCs w:val="24"/>
        </w:rPr>
        <w:t>z wejściem w życie ustawy z dnia 23 marca 2017 r. o zmianie ustawy o świadczeniach opieki zdrowotnej finansowanych ze środków publicznych (Dz. U. p</w:t>
      </w:r>
      <w:bookmarkStart w:id="0" w:name="_GoBack"/>
      <w:bookmarkEnd w:id="0"/>
      <w:r w:rsidR="00AD380D" w:rsidRPr="00585123">
        <w:rPr>
          <w:rFonts w:ascii="Arial" w:hAnsi="Arial" w:cs="Arial"/>
          <w:spacing w:val="-6"/>
          <w:sz w:val="24"/>
          <w:szCs w:val="24"/>
        </w:rPr>
        <w:t>oz. 844) wprowadzającej regulacje dotyczące systemu podstawowego szpitalnego zabezpieczenia świadczeń opieki zdrowotnej, zwanego d</w:t>
      </w:r>
      <w:r w:rsidR="00F357D0" w:rsidRPr="00585123">
        <w:rPr>
          <w:rFonts w:ascii="Arial" w:hAnsi="Arial" w:cs="Arial"/>
          <w:spacing w:val="-6"/>
          <w:sz w:val="24"/>
          <w:szCs w:val="24"/>
        </w:rPr>
        <w:t xml:space="preserve">alej ,,systemem </w:t>
      </w:r>
      <w:r w:rsidR="000154BA" w:rsidRPr="00585123">
        <w:rPr>
          <w:rFonts w:ascii="Arial" w:hAnsi="Arial" w:cs="Arial"/>
          <w:spacing w:val="-6"/>
          <w:sz w:val="24"/>
          <w:szCs w:val="24"/>
        </w:rPr>
        <w:t xml:space="preserve">zabezpieczenia” oraz </w:t>
      </w:r>
      <w:r w:rsidR="008764C3" w:rsidRPr="00585123">
        <w:rPr>
          <w:rFonts w:ascii="Arial" w:hAnsi="Arial" w:cs="Arial"/>
          <w:spacing w:val="-6"/>
          <w:sz w:val="24"/>
          <w:szCs w:val="24"/>
        </w:rPr>
        <w:t>rozporządze</w:t>
      </w:r>
      <w:r w:rsidR="00170994" w:rsidRPr="00585123">
        <w:rPr>
          <w:rFonts w:ascii="Arial" w:hAnsi="Arial" w:cs="Arial"/>
          <w:spacing w:val="-6"/>
          <w:sz w:val="24"/>
          <w:szCs w:val="24"/>
        </w:rPr>
        <w:t>nia</w:t>
      </w:r>
      <w:r w:rsidR="008764C3"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="00F357D0" w:rsidRPr="00585123">
        <w:rPr>
          <w:rFonts w:ascii="Arial" w:hAnsi="Arial" w:cs="Arial"/>
          <w:spacing w:val="-6"/>
          <w:sz w:val="24"/>
          <w:szCs w:val="24"/>
        </w:rPr>
        <w:t>Ministra Zdrowia</w:t>
      </w:r>
      <w:r w:rsidR="00170994"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="00F357D0" w:rsidRPr="00585123">
        <w:rPr>
          <w:rFonts w:ascii="Arial" w:hAnsi="Arial" w:cs="Arial"/>
          <w:spacing w:val="-6"/>
          <w:sz w:val="24"/>
          <w:szCs w:val="24"/>
        </w:rPr>
        <w:t xml:space="preserve">z dnia </w:t>
      </w:r>
      <w:r w:rsidR="00170994" w:rsidRPr="00585123">
        <w:rPr>
          <w:rFonts w:ascii="Arial" w:hAnsi="Arial" w:cs="Arial"/>
          <w:spacing w:val="-6"/>
          <w:sz w:val="24"/>
          <w:szCs w:val="24"/>
        </w:rPr>
        <w:t>19 czerwca 2017 r. zmieniającego</w:t>
      </w:r>
      <w:r w:rsidR="00F357D0" w:rsidRPr="00585123">
        <w:rPr>
          <w:rFonts w:ascii="Arial" w:hAnsi="Arial" w:cs="Arial"/>
          <w:spacing w:val="-6"/>
          <w:sz w:val="24"/>
          <w:szCs w:val="24"/>
        </w:rPr>
        <w:t xml:space="preserve"> rozporządzenie w sprawie świadczeń gwarantowanych z zakresu leczenia</w:t>
      </w:r>
      <w:r w:rsidR="008764C3" w:rsidRPr="00585123">
        <w:rPr>
          <w:rFonts w:ascii="Arial" w:hAnsi="Arial" w:cs="Arial"/>
          <w:spacing w:val="-6"/>
          <w:sz w:val="24"/>
          <w:szCs w:val="24"/>
        </w:rPr>
        <w:t xml:space="preserve"> szpitalnego (Dz. U. poz. 1270) i</w:t>
      </w:r>
      <w:r w:rsidR="00170994" w:rsidRPr="00585123">
        <w:rPr>
          <w:rFonts w:ascii="Arial" w:hAnsi="Arial" w:cs="Arial"/>
          <w:spacing w:val="-6"/>
          <w:sz w:val="24"/>
          <w:szCs w:val="24"/>
        </w:rPr>
        <w:t> </w:t>
      </w:r>
      <w:r w:rsidR="00F357D0" w:rsidRPr="00585123">
        <w:rPr>
          <w:rFonts w:ascii="Arial" w:hAnsi="Arial" w:cs="Arial"/>
          <w:spacing w:val="-6"/>
          <w:sz w:val="24"/>
          <w:szCs w:val="24"/>
        </w:rPr>
        <w:t>rozporządzenia Mini</w:t>
      </w:r>
      <w:r w:rsidR="00294DE5">
        <w:rPr>
          <w:rFonts w:ascii="Arial" w:hAnsi="Arial" w:cs="Arial"/>
          <w:spacing w:val="-6"/>
          <w:sz w:val="24"/>
          <w:szCs w:val="24"/>
        </w:rPr>
        <w:t xml:space="preserve">stra Zdrowia z dnia 21 czerwca </w:t>
      </w:r>
      <w:r w:rsidR="00F357D0" w:rsidRPr="00585123">
        <w:rPr>
          <w:rFonts w:ascii="Arial" w:hAnsi="Arial" w:cs="Arial"/>
          <w:spacing w:val="-6"/>
          <w:sz w:val="24"/>
          <w:szCs w:val="24"/>
        </w:rPr>
        <w:t>2017 r. w sprawie wzoru karty diagnostyki i leczenia on</w:t>
      </w:r>
      <w:r w:rsidR="00170994" w:rsidRPr="00585123">
        <w:rPr>
          <w:rFonts w:ascii="Arial" w:hAnsi="Arial" w:cs="Arial"/>
          <w:spacing w:val="-6"/>
          <w:sz w:val="24"/>
          <w:szCs w:val="24"/>
        </w:rPr>
        <w:t>kologicznego (Dz. U. poz. 1250) wprowadzających zmiany w warunkach realizacji leczenia onkologicznego.</w:t>
      </w:r>
    </w:p>
    <w:p w:rsidR="00AD380D" w:rsidRPr="00585123" w:rsidRDefault="00AD380D" w:rsidP="00750C8B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 xml:space="preserve">Celem wprowadzanych zmian </w:t>
      </w:r>
      <w:r w:rsidR="00F357D0" w:rsidRPr="00585123">
        <w:rPr>
          <w:rFonts w:ascii="Arial" w:hAnsi="Arial" w:cs="Arial"/>
          <w:spacing w:val="-6"/>
          <w:sz w:val="24"/>
          <w:szCs w:val="24"/>
        </w:rPr>
        <w:t>jest dostosowanie przepisów wydanych przez Prezesa Narodowego Funduszu Zdrowia do</w:t>
      </w:r>
      <w:r w:rsidR="00F357D0" w:rsidRPr="00585123">
        <w:t xml:space="preserve"> </w:t>
      </w:r>
      <w:r w:rsidR="00F357D0" w:rsidRPr="00585123">
        <w:rPr>
          <w:rFonts w:ascii="Arial" w:hAnsi="Arial" w:cs="Arial"/>
          <w:spacing w:val="-6"/>
          <w:sz w:val="24"/>
          <w:szCs w:val="24"/>
        </w:rPr>
        <w:t>obowiązujących aktów prawnych. W</w:t>
      </w:r>
      <w:r w:rsidR="00750C8B" w:rsidRPr="00585123">
        <w:rPr>
          <w:rFonts w:ascii="Arial" w:hAnsi="Arial" w:cs="Arial"/>
          <w:spacing w:val="-6"/>
          <w:sz w:val="24"/>
          <w:szCs w:val="24"/>
        </w:rPr>
        <w:t> głównej </w:t>
      </w:r>
      <w:r w:rsidR="00F357D0" w:rsidRPr="00585123">
        <w:rPr>
          <w:rFonts w:ascii="Arial" w:hAnsi="Arial" w:cs="Arial"/>
          <w:spacing w:val="-6"/>
          <w:sz w:val="24"/>
          <w:szCs w:val="24"/>
        </w:rPr>
        <w:t xml:space="preserve">mierze </w:t>
      </w:r>
      <w:r w:rsidR="00750C8B" w:rsidRPr="00585123">
        <w:rPr>
          <w:rFonts w:ascii="Arial" w:hAnsi="Arial" w:cs="Arial"/>
          <w:spacing w:val="-6"/>
          <w:sz w:val="24"/>
          <w:szCs w:val="24"/>
        </w:rPr>
        <w:t>wprowadzone zmiany dotyczą ujednolicenia przepisów zarządzenia w </w:t>
      </w:r>
      <w:r w:rsidRPr="00585123">
        <w:rPr>
          <w:rFonts w:ascii="Arial" w:hAnsi="Arial" w:cs="Arial"/>
          <w:spacing w:val="-6"/>
          <w:sz w:val="24"/>
          <w:szCs w:val="24"/>
        </w:rPr>
        <w:t>zakresie jednostek sprawozdawczych dotyczących ambulatoryjnej opieki specjalistycz</w:t>
      </w:r>
      <w:r w:rsidR="00D34876">
        <w:rPr>
          <w:rFonts w:ascii="Arial" w:hAnsi="Arial" w:cs="Arial"/>
          <w:spacing w:val="-6"/>
          <w:sz w:val="24"/>
          <w:szCs w:val="24"/>
        </w:rPr>
        <w:t xml:space="preserve">nej z </w:t>
      </w:r>
      <w:r w:rsidRPr="00585123">
        <w:rPr>
          <w:rFonts w:ascii="Arial" w:hAnsi="Arial" w:cs="Arial"/>
          <w:spacing w:val="-6"/>
          <w:sz w:val="24"/>
          <w:szCs w:val="24"/>
        </w:rPr>
        <w:t xml:space="preserve">przepisami obowiązującymi w tej materii w zakresach świadczeń: leczenia szpitalnego, świadczeń wysokospecjalistycznych, rehabilitacji leczniczej, świadczeń </w:t>
      </w:r>
      <w:r w:rsidR="007002FC" w:rsidRPr="00585123">
        <w:rPr>
          <w:rFonts w:ascii="Arial" w:hAnsi="Arial" w:cs="Arial"/>
          <w:spacing w:val="-6"/>
          <w:sz w:val="24"/>
          <w:szCs w:val="24"/>
        </w:rPr>
        <w:t xml:space="preserve">zdrowotnych </w:t>
      </w:r>
      <w:r w:rsidRPr="00585123">
        <w:rPr>
          <w:rFonts w:ascii="Arial" w:hAnsi="Arial" w:cs="Arial"/>
          <w:spacing w:val="-6"/>
          <w:sz w:val="24"/>
          <w:szCs w:val="24"/>
        </w:rPr>
        <w:t>odrębnie kontraktowanych. Rozwiązanie takie umożliwi wyliczenie wartości ryczałtów podstawowego systemu zabezpieczenia, o których mow</w:t>
      </w:r>
      <w:r w:rsidR="00750C8B" w:rsidRPr="00585123">
        <w:rPr>
          <w:rFonts w:ascii="Arial" w:hAnsi="Arial" w:cs="Arial"/>
          <w:spacing w:val="-6"/>
          <w:sz w:val="24"/>
          <w:szCs w:val="24"/>
        </w:rPr>
        <w:t>a w </w:t>
      </w:r>
      <w:r w:rsidRPr="00585123">
        <w:rPr>
          <w:rFonts w:ascii="Arial" w:hAnsi="Arial" w:cs="Arial"/>
          <w:spacing w:val="-6"/>
          <w:sz w:val="24"/>
          <w:szCs w:val="24"/>
        </w:rPr>
        <w:t xml:space="preserve">art. 136c ustawy </w:t>
      </w:r>
      <w:r w:rsidR="007002FC" w:rsidRPr="00585123">
        <w:rPr>
          <w:rFonts w:ascii="Arial" w:hAnsi="Arial" w:cs="Arial"/>
          <w:spacing w:val="-6"/>
          <w:sz w:val="24"/>
          <w:szCs w:val="24"/>
        </w:rPr>
        <w:t>o </w:t>
      </w:r>
      <w:r w:rsidRPr="00585123">
        <w:rPr>
          <w:rFonts w:ascii="Arial" w:hAnsi="Arial" w:cs="Arial"/>
          <w:spacing w:val="-6"/>
          <w:sz w:val="24"/>
          <w:szCs w:val="24"/>
        </w:rPr>
        <w:t>świadczeniach.</w:t>
      </w:r>
    </w:p>
    <w:p w:rsidR="00170994" w:rsidRPr="00585123" w:rsidRDefault="00170994" w:rsidP="00170994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 xml:space="preserve">W niniejszym zarządzeniu, zgodnie z art. 146 ust. 6 znowelizowanej ustawy o świadczeniach, zaimplementowano w katalogu grup, katalogu produktów odrębnych i katalogu produktów do sumowania nowe taryfy w przypadku niektórych świadczeń. Stanowi to wprowadzenie w życie przepisów </w:t>
      </w:r>
      <w:proofErr w:type="spellStart"/>
      <w:r w:rsidRPr="00585123">
        <w:rPr>
          <w:rFonts w:ascii="Arial" w:hAnsi="Arial" w:cs="Arial"/>
          <w:spacing w:val="-6"/>
          <w:sz w:val="24"/>
          <w:szCs w:val="24"/>
        </w:rPr>
        <w:t>Obwie</w:t>
      </w:r>
      <w:r w:rsidR="00167168" w:rsidRPr="00585123">
        <w:rPr>
          <w:rFonts w:ascii="Arial" w:hAnsi="Arial" w:cs="Arial"/>
          <w:spacing w:val="-6"/>
          <w:sz w:val="24"/>
          <w:szCs w:val="24"/>
        </w:rPr>
        <w:t>szczeń</w:t>
      </w:r>
      <w:proofErr w:type="spellEnd"/>
      <w:r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="00167168" w:rsidRPr="00585123">
        <w:rPr>
          <w:rFonts w:ascii="Arial" w:hAnsi="Arial" w:cs="Arial"/>
          <w:spacing w:val="-6"/>
          <w:sz w:val="24"/>
          <w:szCs w:val="24"/>
        </w:rPr>
        <w:t xml:space="preserve">Prezesa Agencji Technologii Medycznych i Taryfikacji z dnia 30 grudnia 2016 r. i </w:t>
      </w:r>
      <w:r w:rsidRPr="00585123">
        <w:rPr>
          <w:rFonts w:ascii="Arial" w:hAnsi="Arial" w:cs="Arial"/>
          <w:spacing w:val="-6"/>
          <w:sz w:val="24"/>
          <w:szCs w:val="24"/>
        </w:rPr>
        <w:t>30 czerwca br. w sprawie taryf świadczeń gwarantowanych w rodzaju leczenie szpitalne, które będą miały zastosowanie do świadczeń udzielanych od 1 października 2017 r.</w:t>
      </w:r>
    </w:p>
    <w:p w:rsidR="00713780" w:rsidRPr="00585123" w:rsidRDefault="00167168" w:rsidP="00713780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lastRenderedPageBreak/>
        <w:t>Jednocześnie, w ślad za wprowadzonymi zmianami do nowelizowanego zarządzenia skorygowano wycenę punktową świadczeń w związku z ponoszonymi prz</w:t>
      </w:r>
      <w:r w:rsidR="00205E0F" w:rsidRPr="00585123">
        <w:rPr>
          <w:rFonts w:ascii="Arial" w:hAnsi="Arial" w:cs="Arial"/>
          <w:spacing w:val="-6"/>
          <w:sz w:val="24"/>
          <w:szCs w:val="24"/>
        </w:rPr>
        <w:t xml:space="preserve">ez świadczeniodawców </w:t>
      </w:r>
      <w:r w:rsidRPr="00585123">
        <w:rPr>
          <w:rFonts w:ascii="Arial" w:hAnsi="Arial" w:cs="Arial"/>
          <w:spacing w:val="-6"/>
          <w:sz w:val="24"/>
          <w:szCs w:val="24"/>
        </w:rPr>
        <w:t>rosnącymi</w:t>
      </w:r>
      <w:r w:rsidR="000154BA"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Pr="00585123">
        <w:rPr>
          <w:rFonts w:ascii="Arial" w:hAnsi="Arial" w:cs="Arial"/>
          <w:spacing w:val="-6"/>
          <w:sz w:val="24"/>
          <w:szCs w:val="24"/>
        </w:rPr>
        <w:t>kosztami, będącymi pochodną wzrostu ogólnych kosztów udzielania świadczeń opieki zdrowotnej, których wyceny nie były kompleksowo podnoszone od 2011 r</w:t>
      </w:r>
      <w:r w:rsidR="000154BA" w:rsidRPr="00585123">
        <w:rPr>
          <w:rFonts w:ascii="Arial" w:hAnsi="Arial" w:cs="Arial"/>
          <w:spacing w:val="-6"/>
          <w:sz w:val="24"/>
          <w:szCs w:val="24"/>
        </w:rPr>
        <w:t>.</w:t>
      </w:r>
      <w:r w:rsidR="00713780" w:rsidRPr="00585123">
        <w:rPr>
          <w:rFonts w:ascii="Arial" w:hAnsi="Arial" w:cs="Arial"/>
          <w:spacing w:val="-6"/>
          <w:sz w:val="24"/>
          <w:szCs w:val="24"/>
        </w:rPr>
        <w:t xml:space="preserve"> Zmiana powyższa jest spowodowana między innymi ustawą z dnia 8 czerwca o sposobie ustalania najniższego wynagrodzenia zasadniczego pracowników wykonujących zawody medyczne zatrudnionych w podmiotach leczniczych oraz podpisanym porozumieniem z dnia 18 lipca 2017 roku pomiędzy Ministerstwem Zdrowia i ratownikami medycznymi.</w:t>
      </w:r>
    </w:p>
    <w:p w:rsidR="00FC6409" w:rsidRPr="00585123" w:rsidRDefault="0027242C" w:rsidP="00167168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>Ze względu</w:t>
      </w:r>
      <w:r w:rsidR="00AD380D" w:rsidRPr="00585123">
        <w:rPr>
          <w:rFonts w:ascii="Arial" w:hAnsi="Arial" w:cs="Arial"/>
          <w:spacing w:val="-6"/>
          <w:sz w:val="24"/>
          <w:szCs w:val="24"/>
        </w:rPr>
        <w:t xml:space="preserve"> na </w:t>
      </w:r>
      <w:r w:rsidR="00167168" w:rsidRPr="00585123">
        <w:rPr>
          <w:rFonts w:ascii="Arial" w:hAnsi="Arial" w:cs="Arial"/>
          <w:spacing w:val="-6"/>
          <w:sz w:val="24"/>
          <w:szCs w:val="24"/>
        </w:rPr>
        <w:t>wiele uwag, zgłoszonych</w:t>
      </w:r>
      <w:r w:rsidR="00440314"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="00AD380D" w:rsidRPr="00585123">
        <w:rPr>
          <w:rFonts w:ascii="Arial" w:hAnsi="Arial" w:cs="Arial"/>
          <w:spacing w:val="-6"/>
          <w:sz w:val="24"/>
          <w:szCs w:val="24"/>
        </w:rPr>
        <w:t xml:space="preserve">w procesie konsultowania projektów zarządzeń </w:t>
      </w:r>
      <w:r w:rsidRPr="00585123">
        <w:rPr>
          <w:rFonts w:ascii="Arial" w:hAnsi="Arial" w:cs="Arial"/>
          <w:spacing w:val="-6"/>
          <w:sz w:val="24"/>
          <w:szCs w:val="24"/>
        </w:rPr>
        <w:t xml:space="preserve">dostosowujących </w:t>
      </w:r>
      <w:r w:rsidR="00440314" w:rsidRPr="00585123">
        <w:rPr>
          <w:rFonts w:ascii="Arial" w:hAnsi="Arial" w:cs="Arial"/>
          <w:spacing w:val="-6"/>
          <w:sz w:val="24"/>
          <w:szCs w:val="24"/>
        </w:rPr>
        <w:t>przepisy</w:t>
      </w:r>
      <w:r w:rsidR="00AD380D"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Pr="00585123">
        <w:rPr>
          <w:rFonts w:ascii="Arial" w:hAnsi="Arial" w:cs="Arial"/>
          <w:spacing w:val="-6"/>
          <w:sz w:val="24"/>
          <w:szCs w:val="24"/>
        </w:rPr>
        <w:t xml:space="preserve">do nowych regulacji </w:t>
      </w:r>
      <w:r w:rsidR="00331A16" w:rsidRPr="00585123">
        <w:rPr>
          <w:rFonts w:ascii="Arial" w:hAnsi="Arial" w:cs="Arial"/>
          <w:spacing w:val="-6"/>
          <w:sz w:val="24"/>
          <w:szCs w:val="24"/>
        </w:rPr>
        <w:t>związanych z podstawowym systemem</w:t>
      </w:r>
      <w:r w:rsidR="00440314" w:rsidRPr="00585123">
        <w:rPr>
          <w:rFonts w:ascii="Arial" w:hAnsi="Arial" w:cs="Arial"/>
          <w:spacing w:val="-6"/>
          <w:sz w:val="24"/>
          <w:szCs w:val="24"/>
        </w:rPr>
        <w:t xml:space="preserve"> zabezpieczenia,</w:t>
      </w:r>
      <w:r w:rsidR="001F43EB" w:rsidRPr="00585123">
        <w:rPr>
          <w:rFonts w:ascii="Arial" w:hAnsi="Arial" w:cs="Arial"/>
          <w:spacing w:val="-6"/>
          <w:sz w:val="24"/>
          <w:szCs w:val="24"/>
        </w:rPr>
        <w:t xml:space="preserve"> </w:t>
      </w:r>
      <w:r w:rsidR="00167168" w:rsidRPr="00585123">
        <w:rPr>
          <w:rFonts w:ascii="Arial" w:hAnsi="Arial" w:cs="Arial"/>
          <w:spacing w:val="-6"/>
          <w:sz w:val="24"/>
          <w:szCs w:val="24"/>
        </w:rPr>
        <w:t>dot. poszerzenia wykazu rodzajów świadczeń, które podlegać będą analog</w:t>
      </w:r>
      <w:r w:rsidR="00D34876">
        <w:rPr>
          <w:rFonts w:ascii="Arial" w:hAnsi="Arial" w:cs="Arial"/>
          <w:spacing w:val="-6"/>
          <w:sz w:val="24"/>
          <w:szCs w:val="24"/>
        </w:rPr>
        <w:t xml:space="preserve">icznej zmianie ujednolicenia i </w:t>
      </w:r>
      <w:r w:rsidR="00167168" w:rsidRPr="00585123">
        <w:rPr>
          <w:rFonts w:ascii="Arial" w:hAnsi="Arial" w:cs="Arial"/>
          <w:spacing w:val="-6"/>
          <w:sz w:val="24"/>
          <w:szCs w:val="24"/>
        </w:rPr>
        <w:t xml:space="preserve">wyceny świadczeń, </w:t>
      </w:r>
      <w:r w:rsidR="00440314" w:rsidRPr="00585123">
        <w:rPr>
          <w:rFonts w:ascii="Arial" w:hAnsi="Arial" w:cs="Arial"/>
          <w:spacing w:val="-6"/>
          <w:sz w:val="24"/>
          <w:szCs w:val="24"/>
        </w:rPr>
        <w:t>p</w:t>
      </w:r>
      <w:r w:rsidR="00331A16" w:rsidRPr="00585123">
        <w:rPr>
          <w:rFonts w:ascii="Arial" w:hAnsi="Arial" w:cs="Arial"/>
          <w:spacing w:val="-6"/>
          <w:sz w:val="24"/>
          <w:szCs w:val="24"/>
        </w:rPr>
        <w:t>odjęto decyzję o </w:t>
      </w:r>
      <w:r w:rsidR="00AD380D" w:rsidRPr="00585123">
        <w:rPr>
          <w:rFonts w:ascii="Arial" w:hAnsi="Arial" w:cs="Arial"/>
          <w:spacing w:val="-6"/>
          <w:sz w:val="24"/>
          <w:szCs w:val="24"/>
        </w:rPr>
        <w:t xml:space="preserve">poszerzeniu obszaru objętego ww. działaniem, ale jednocześnie </w:t>
      </w:r>
      <w:r w:rsidR="00331A16" w:rsidRPr="00585123">
        <w:rPr>
          <w:rFonts w:ascii="Arial" w:hAnsi="Arial" w:cs="Arial"/>
          <w:spacing w:val="-6"/>
          <w:sz w:val="24"/>
          <w:szCs w:val="24"/>
        </w:rPr>
        <w:t>z uwagi na </w:t>
      </w:r>
      <w:r w:rsidR="005F30F6" w:rsidRPr="00585123">
        <w:rPr>
          <w:rFonts w:ascii="Arial" w:hAnsi="Arial" w:cs="Arial"/>
          <w:spacing w:val="-6"/>
          <w:sz w:val="24"/>
          <w:szCs w:val="24"/>
        </w:rPr>
        <w:t xml:space="preserve">ograniczone środki w </w:t>
      </w:r>
      <w:r w:rsidR="00AD380D" w:rsidRPr="00585123">
        <w:rPr>
          <w:rFonts w:ascii="Arial" w:hAnsi="Arial" w:cs="Arial"/>
          <w:spacing w:val="-6"/>
          <w:sz w:val="24"/>
          <w:szCs w:val="24"/>
        </w:rPr>
        <w:t xml:space="preserve">planie finansowym Funduszu proces ten rozłożono na dwa etapy, od 1 lipca </w:t>
      </w:r>
      <w:r w:rsidR="002317A5" w:rsidRPr="00585123">
        <w:rPr>
          <w:rFonts w:ascii="Arial" w:hAnsi="Arial" w:cs="Arial"/>
          <w:spacing w:val="-6"/>
          <w:sz w:val="24"/>
          <w:szCs w:val="24"/>
        </w:rPr>
        <w:t xml:space="preserve">br. </w:t>
      </w:r>
      <w:r w:rsidR="0007602F" w:rsidRPr="00585123">
        <w:rPr>
          <w:rFonts w:ascii="Arial" w:hAnsi="Arial" w:cs="Arial"/>
          <w:spacing w:val="-6"/>
          <w:sz w:val="24"/>
          <w:szCs w:val="24"/>
        </w:rPr>
        <w:t xml:space="preserve">zwiększenie o 2% </w:t>
      </w:r>
      <w:r w:rsidR="002317A5" w:rsidRPr="00585123">
        <w:rPr>
          <w:rFonts w:ascii="Arial" w:hAnsi="Arial" w:cs="Arial"/>
          <w:spacing w:val="-6"/>
          <w:sz w:val="24"/>
          <w:szCs w:val="24"/>
        </w:rPr>
        <w:t>oraz 1 </w:t>
      </w:r>
      <w:r w:rsidRPr="00585123">
        <w:rPr>
          <w:rFonts w:ascii="Arial" w:hAnsi="Arial" w:cs="Arial"/>
          <w:spacing w:val="-6"/>
          <w:sz w:val="24"/>
          <w:szCs w:val="24"/>
        </w:rPr>
        <w:t>października br.</w:t>
      </w:r>
      <w:r w:rsidR="0007602F" w:rsidRPr="00585123">
        <w:rPr>
          <w:rFonts w:ascii="Arial" w:hAnsi="Arial" w:cs="Arial"/>
          <w:spacing w:val="-6"/>
          <w:sz w:val="24"/>
          <w:szCs w:val="24"/>
        </w:rPr>
        <w:t xml:space="preserve"> zwiększenie wyceny o 4%</w:t>
      </w:r>
      <w:r w:rsidR="00A40E42" w:rsidRPr="00585123">
        <w:rPr>
          <w:rFonts w:ascii="Arial" w:hAnsi="Arial" w:cs="Arial"/>
          <w:spacing w:val="-6"/>
          <w:sz w:val="24"/>
          <w:szCs w:val="24"/>
        </w:rPr>
        <w:t xml:space="preserve"> w stosunku do obecnej wyceny</w:t>
      </w:r>
      <w:r w:rsidRPr="00585123">
        <w:rPr>
          <w:rFonts w:ascii="Arial" w:hAnsi="Arial" w:cs="Arial"/>
          <w:spacing w:val="-6"/>
          <w:sz w:val="24"/>
          <w:szCs w:val="24"/>
        </w:rPr>
        <w:t>, co </w:t>
      </w:r>
      <w:r w:rsidR="00AD380D" w:rsidRPr="00585123">
        <w:rPr>
          <w:rFonts w:ascii="Arial" w:hAnsi="Arial" w:cs="Arial"/>
          <w:spacing w:val="-6"/>
          <w:sz w:val="24"/>
          <w:szCs w:val="24"/>
        </w:rPr>
        <w:t>pozwoli na zachowanie bezpie</w:t>
      </w:r>
      <w:r w:rsidR="00440314" w:rsidRPr="00585123">
        <w:rPr>
          <w:rFonts w:ascii="Arial" w:hAnsi="Arial" w:cs="Arial"/>
          <w:spacing w:val="-6"/>
          <w:sz w:val="24"/>
          <w:szCs w:val="24"/>
        </w:rPr>
        <w:t>czeństw</w:t>
      </w:r>
      <w:r w:rsidR="0007602F" w:rsidRPr="00585123">
        <w:rPr>
          <w:rFonts w:ascii="Arial" w:hAnsi="Arial" w:cs="Arial"/>
          <w:spacing w:val="-6"/>
          <w:sz w:val="24"/>
          <w:szCs w:val="24"/>
        </w:rPr>
        <w:t xml:space="preserve">a finansowego płatnika. </w:t>
      </w:r>
    </w:p>
    <w:p w:rsidR="00167168" w:rsidRPr="00585123" w:rsidRDefault="002317A5" w:rsidP="00167168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 xml:space="preserve">Dodatkowo w </w:t>
      </w:r>
      <w:r w:rsidR="00167168" w:rsidRPr="00585123">
        <w:rPr>
          <w:rFonts w:ascii="Arial" w:hAnsi="Arial" w:cs="Arial"/>
          <w:spacing w:val="-6"/>
          <w:sz w:val="24"/>
          <w:szCs w:val="24"/>
        </w:rPr>
        <w:t>zarządzeniu wprowadzono następujące modyfikacje:</w:t>
      </w:r>
    </w:p>
    <w:p w:rsidR="00AF13EC" w:rsidRPr="00585123" w:rsidRDefault="00205E0F" w:rsidP="00AF13EC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 związku z nowelizacją rozporządzenia Ministra Zdrowia w sprawie szczegółowych kryteriów wyboru ofert w postępowaniu </w:t>
      </w:r>
      <w:r w:rsidR="00AF13EC" w:rsidRPr="00585123">
        <w:rPr>
          <w:rFonts w:ascii="Arial" w:hAnsi="Arial" w:cs="Arial"/>
          <w:spacing w:val="-4"/>
          <w:sz w:val="24"/>
          <w:szCs w:val="24"/>
        </w:rPr>
        <w:t xml:space="preserve">w sprawie zawarcia umów o udzielanie świadczeń opieki zdrowotnej w poszczególnych katalogach do zarządzenia (w katalogu grup JGP, katalogu produktów odrębnych, katalogu produktów do sumowania, katalogu zakresów świadczeń i katalogu produktów onkologicznych – pakiety onkologiczne) wydzielono odrębne zakresy dla specjalistycznych świadczeń udzielanych w ramach profili, które znalazły się </w:t>
      </w:r>
      <w:r w:rsidR="00C6103C" w:rsidRPr="00585123">
        <w:rPr>
          <w:rFonts w:ascii="Arial" w:hAnsi="Arial" w:cs="Arial"/>
          <w:spacing w:val="-4"/>
          <w:sz w:val="24"/>
          <w:szCs w:val="24"/>
        </w:rPr>
        <w:t>w </w:t>
      </w:r>
      <w:r w:rsidR="00AF13EC" w:rsidRPr="00585123">
        <w:rPr>
          <w:rFonts w:ascii="Arial" w:hAnsi="Arial" w:cs="Arial"/>
          <w:spacing w:val="-4"/>
          <w:sz w:val="24"/>
          <w:szCs w:val="24"/>
        </w:rPr>
        <w:t>wykazach kwalifikujących do podstawowego systemu zabezpieczenia świadczeń</w:t>
      </w:r>
      <w:r w:rsidR="00C6103C" w:rsidRPr="00585123">
        <w:rPr>
          <w:rFonts w:ascii="Arial" w:hAnsi="Arial" w:cs="Arial"/>
          <w:spacing w:val="-4"/>
          <w:sz w:val="24"/>
          <w:szCs w:val="24"/>
        </w:rPr>
        <w:t>;</w:t>
      </w:r>
    </w:p>
    <w:p w:rsidR="00962B2F" w:rsidRPr="00585123" w:rsidRDefault="002317A5" w:rsidP="00205E0F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u</w:t>
      </w:r>
      <w:r w:rsidR="00D0073C" w:rsidRPr="00585123">
        <w:rPr>
          <w:rFonts w:ascii="Arial" w:hAnsi="Arial" w:cs="Arial"/>
          <w:spacing w:val="-4"/>
          <w:sz w:val="24"/>
          <w:szCs w:val="24"/>
        </w:rPr>
        <w:t>względniając</w:t>
      </w:r>
      <w:r w:rsidR="006241F4" w:rsidRPr="00585123">
        <w:rPr>
          <w:rFonts w:ascii="Arial" w:hAnsi="Arial" w:cs="Arial"/>
          <w:spacing w:val="-4"/>
          <w:sz w:val="24"/>
          <w:szCs w:val="24"/>
        </w:rPr>
        <w:t xml:space="preserve"> wnioski podmiotów leczniczych</w:t>
      </w:r>
      <w:r w:rsidR="00205E0F" w:rsidRPr="00585123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="005F78B4" w:rsidRPr="00585123">
        <w:rPr>
          <w:rFonts w:ascii="Arial" w:eastAsia="Times New Roman" w:hAnsi="Arial" w:cs="Arial"/>
          <w:spacing w:val="-4"/>
          <w:sz w:val="24"/>
          <w:szCs w:val="24"/>
        </w:rPr>
        <w:t>udostępniających</w:t>
      </w:r>
      <w:r w:rsidR="00205E0F" w:rsidRPr="00585123">
        <w:rPr>
          <w:rFonts w:ascii="Arial" w:eastAsia="Times New Roman" w:hAnsi="Arial" w:cs="Arial"/>
          <w:spacing w:val="-4"/>
          <w:sz w:val="24"/>
          <w:szCs w:val="24"/>
        </w:rPr>
        <w:t xml:space="preserve"> uczelni medycznej </w:t>
      </w:r>
      <w:r w:rsidR="003A287F" w:rsidRPr="00585123">
        <w:rPr>
          <w:rFonts w:ascii="Arial" w:eastAsia="Times New Roman" w:hAnsi="Arial" w:cs="Arial"/>
          <w:spacing w:val="-4"/>
          <w:sz w:val="24"/>
          <w:szCs w:val="24"/>
        </w:rPr>
        <w:t xml:space="preserve">jednostki organizacyjne </w:t>
      </w:r>
      <w:r w:rsidR="00205E0F" w:rsidRPr="00585123">
        <w:rPr>
          <w:rFonts w:ascii="Arial" w:hAnsi="Arial" w:cs="Arial"/>
          <w:spacing w:val="-4"/>
          <w:sz w:val="24"/>
          <w:szCs w:val="24"/>
        </w:rPr>
        <w:t xml:space="preserve">do prowadzenia kształcenia </w:t>
      </w:r>
      <w:proofErr w:type="spellStart"/>
      <w:r w:rsidR="00205E0F" w:rsidRPr="00585123">
        <w:rPr>
          <w:rFonts w:ascii="Arial" w:hAnsi="Arial" w:cs="Arial"/>
          <w:spacing w:val="-4"/>
          <w:sz w:val="24"/>
          <w:szCs w:val="24"/>
        </w:rPr>
        <w:t>przeddyplomowego</w:t>
      </w:r>
      <w:proofErr w:type="spellEnd"/>
      <w:r w:rsidR="00205E0F" w:rsidRPr="00585123">
        <w:rPr>
          <w:rFonts w:ascii="Arial" w:hAnsi="Arial" w:cs="Arial"/>
          <w:spacing w:val="-4"/>
          <w:sz w:val="24"/>
          <w:szCs w:val="24"/>
        </w:rPr>
        <w:t xml:space="preserve"> w zawodach medycznych</w:t>
      </w:r>
      <w:r w:rsidR="00D0073C" w:rsidRPr="00585123">
        <w:rPr>
          <w:rFonts w:ascii="Arial" w:hAnsi="Arial" w:cs="Arial"/>
          <w:spacing w:val="-4"/>
          <w:sz w:val="24"/>
          <w:szCs w:val="24"/>
        </w:rPr>
        <w:t xml:space="preserve">, </w:t>
      </w:r>
      <w:r w:rsidR="00205E0F" w:rsidRPr="00585123">
        <w:rPr>
          <w:rFonts w:ascii="Arial" w:hAnsi="Arial" w:cs="Arial"/>
          <w:spacing w:val="-4"/>
          <w:sz w:val="24"/>
          <w:szCs w:val="24"/>
        </w:rPr>
        <w:t>które udzielają świadczeń na </w:t>
      </w:r>
      <w:r w:rsidR="00316B75" w:rsidRPr="00585123">
        <w:rPr>
          <w:rFonts w:ascii="Arial" w:hAnsi="Arial" w:cs="Arial"/>
          <w:spacing w:val="-4"/>
          <w:sz w:val="24"/>
          <w:szCs w:val="24"/>
        </w:rPr>
        <w:t xml:space="preserve">podobnym poziomie </w:t>
      </w:r>
      <w:r w:rsidR="00205E0F" w:rsidRPr="00585123">
        <w:rPr>
          <w:rFonts w:ascii="Arial" w:hAnsi="Arial" w:cs="Arial"/>
          <w:spacing w:val="-4"/>
          <w:sz w:val="24"/>
          <w:szCs w:val="24"/>
        </w:rPr>
        <w:t xml:space="preserve">diagnostycznym i </w:t>
      </w:r>
      <w:r w:rsidR="00316B75" w:rsidRPr="00585123">
        <w:rPr>
          <w:rFonts w:ascii="Arial" w:hAnsi="Arial" w:cs="Arial"/>
          <w:spacing w:val="-4"/>
          <w:sz w:val="24"/>
          <w:szCs w:val="24"/>
        </w:rPr>
        <w:t>leczniczym, tj. standardzie infrast</w:t>
      </w:r>
      <w:r w:rsidR="001F43EB" w:rsidRPr="00585123">
        <w:rPr>
          <w:rFonts w:ascii="Arial" w:hAnsi="Arial" w:cs="Arial"/>
          <w:spacing w:val="-4"/>
          <w:sz w:val="24"/>
          <w:szCs w:val="24"/>
        </w:rPr>
        <w:t xml:space="preserve">ruktury, personelu medycznego i </w:t>
      </w:r>
      <w:r w:rsidR="00316B75" w:rsidRPr="00585123">
        <w:rPr>
          <w:rFonts w:ascii="Arial" w:hAnsi="Arial" w:cs="Arial"/>
          <w:spacing w:val="-4"/>
          <w:sz w:val="24"/>
          <w:szCs w:val="24"/>
        </w:rPr>
        <w:t>sprzętu, co</w:t>
      </w:r>
      <w:r w:rsidR="00316B75" w:rsidRPr="0058512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16B75" w:rsidRPr="00585123">
        <w:rPr>
          <w:rFonts w:ascii="Arial" w:hAnsi="Arial" w:cs="Arial"/>
          <w:bCs/>
          <w:spacing w:val="-4"/>
          <w:sz w:val="24"/>
          <w:szCs w:val="24"/>
        </w:rPr>
        <w:t>szpitale uniwersyteckie czy instytuty,</w:t>
      </w:r>
      <w:r w:rsidR="00316B75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D0073C" w:rsidRPr="00585123">
        <w:rPr>
          <w:rFonts w:ascii="Arial" w:hAnsi="Arial" w:cs="Arial"/>
          <w:spacing w:val="-4"/>
          <w:sz w:val="24"/>
          <w:szCs w:val="24"/>
        </w:rPr>
        <w:t>p</w:t>
      </w:r>
      <w:r w:rsidR="00205E0F" w:rsidRPr="00585123">
        <w:rPr>
          <w:rFonts w:ascii="Arial" w:hAnsi="Arial" w:cs="Arial"/>
          <w:spacing w:val="-4"/>
          <w:sz w:val="24"/>
          <w:szCs w:val="24"/>
        </w:rPr>
        <w:t>o </w:t>
      </w:r>
      <w:r w:rsidR="004316BE" w:rsidRPr="00585123">
        <w:rPr>
          <w:rFonts w:ascii="Arial" w:hAnsi="Arial" w:cs="Arial"/>
          <w:spacing w:val="-4"/>
          <w:sz w:val="24"/>
          <w:szCs w:val="24"/>
        </w:rPr>
        <w:t>przeanalizowaniu wszyst</w:t>
      </w:r>
      <w:r w:rsidR="00D0073C" w:rsidRPr="00585123">
        <w:rPr>
          <w:rFonts w:ascii="Arial" w:hAnsi="Arial" w:cs="Arial"/>
          <w:spacing w:val="-4"/>
          <w:sz w:val="24"/>
          <w:szCs w:val="24"/>
        </w:rPr>
        <w:t xml:space="preserve">kich przedstawionych argumentów, </w:t>
      </w:r>
      <w:r w:rsidR="00D0073C" w:rsidRPr="00585123">
        <w:rPr>
          <w:rFonts w:ascii="Arial" w:eastAsia="Times New Roman" w:hAnsi="Arial" w:cs="Arial"/>
          <w:bCs/>
          <w:spacing w:val="-4"/>
          <w:sz w:val="24"/>
          <w:szCs w:val="24"/>
        </w:rPr>
        <w:t>w tym skutku finansowego dla płatnika,</w:t>
      </w:r>
      <w:r w:rsidR="00316B75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Pr="00585123">
        <w:rPr>
          <w:rFonts w:ascii="Arial" w:hAnsi="Arial" w:cs="Arial"/>
          <w:spacing w:val="-4"/>
          <w:sz w:val="24"/>
          <w:szCs w:val="24"/>
        </w:rPr>
        <w:t xml:space="preserve">wprowadzono możliwość </w:t>
      </w:r>
      <w:r w:rsidR="00565228" w:rsidRPr="00585123">
        <w:rPr>
          <w:rFonts w:ascii="Arial" w:hAnsi="Arial" w:cs="Arial"/>
          <w:spacing w:val="-4"/>
          <w:sz w:val="24"/>
          <w:szCs w:val="24"/>
        </w:rPr>
        <w:t>zastosowani</w:t>
      </w:r>
      <w:r w:rsidR="004D76F8" w:rsidRPr="00585123">
        <w:rPr>
          <w:rFonts w:ascii="Arial" w:hAnsi="Arial" w:cs="Arial"/>
          <w:spacing w:val="-4"/>
          <w:sz w:val="24"/>
          <w:szCs w:val="24"/>
        </w:rPr>
        <w:t>e</w:t>
      </w:r>
      <w:r w:rsidR="00565228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962B2F" w:rsidRPr="00585123">
        <w:rPr>
          <w:rFonts w:ascii="Arial" w:hAnsi="Arial" w:cs="Arial"/>
          <w:spacing w:val="-4"/>
          <w:sz w:val="24"/>
          <w:szCs w:val="24"/>
        </w:rPr>
        <w:t>współczynnik</w:t>
      </w:r>
      <w:r w:rsidR="00565228" w:rsidRPr="00585123">
        <w:rPr>
          <w:rFonts w:ascii="Arial" w:hAnsi="Arial" w:cs="Arial"/>
          <w:spacing w:val="-4"/>
          <w:sz w:val="24"/>
          <w:szCs w:val="24"/>
        </w:rPr>
        <w:t>a</w:t>
      </w:r>
      <w:r w:rsidR="00962B2F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962B2F" w:rsidRPr="00585123">
        <w:rPr>
          <w:rFonts w:ascii="Arial" w:hAnsi="Arial" w:cs="Arial"/>
          <w:spacing w:val="-4"/>
          <w:sz w:val="24"/>
          <w:szCs w:val="24"/>
        </w:rPr>
        <w:lastRenderedPageBreak/>
        <w:t>korygując</w:t>
      </w:r>
      <w:r w:rsidR="00565228" w:rsidRPr="00585123">
        <w:rPr>
          <w:rFonts w:ascii="Arial" w:hAnsi="Arial" w:cs="Arial"/>
          <w:spacing w:val="-4"/>
          <w:sz w:val="24"/>
          <w:szCs w:val="24"/>
        </w:rPr>
        <w:t>ego</w:t>
      </w:r>
      <w:r w:rsidR="004316BE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4D76F8" w:rsidRPr="00585123">
        <w:rPr>
          <w:rFonts w:ascii="Arial" w:hAnsi="Arial" w:cs="Arial"/>
          <w:spacing w:val="-4"/>
          <w:sz w:val="24"/>
          <w:szCs w:val="24"/>
        </w:rPr>
        <w:t>dla t</w:t>
      </w:r>
      <w:r w:rsidR="00984404" w:rsidRPr="00585123">
        <w:rPr>
          <w:rFonts w:ascii="Arial" w:hAnsi="Arial" w:cs="Arial"/>
          <w:spacing w:val="-4"/>
          <w:sz w:val="24"/>
          <w:szCs w:val="24"/>
        </w:rPr>
        <w:t>ej</w:t>
      </w:r>
      <w:r w:rsidR="004D76F8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962B2F" w:rsidRPr="00585123">
        <w:rPr>
          <w:rFonts w:ascii="Arial" w:hAnsi="Arial" w:cs="Arial"/>
          <w:spacing w:val="-4"/>
          <w:sz w:val="24"/>
          <w:szCs w:val="24"/>
        </w:rPr>
        <w:t xml:space="preserve">grupy </w:t>
      </w:r>
      <w:r w:rsidR="00827790" w:rsidRPr="00585123">
        <w:rPr>
          <w:rFonts w:ascii="Arial" w:hAnsi="Arial" w:cs="Arial"/>
          <w:spacing w:val="-4"/>
          <w:sz w:val="24"/>
          <w:szCs w:val="24"/>
        </w:rPr>
        <w:t>podmiotów leczniczych</w:t>
      </w:r>
      <w:r w:rsidR="00984404" w:rsidRPr="00585123">
        <w:rPr>
          <w:rFonts w:ascii="Arial" w:hAnsi="Arial" w:cs="Arial"/>
          <w:bCs/>
          <w:spacing w:val="-4"/>
          <w:sz w:val="24"/>
          <w:szCs w:val="24"/>
        </w:rPr>
        <w:t xml:space="preserve">. Zastosowanie </w:t>
      </w:r>
      <w:r w:rsidR="00984404" w:rsidRPr="00585123">
        <w:rPr>
          <w:rFonts w:ascii="Arial" w:hAnsi="Arial" w:cs="Arial"/>
          <w:spacing w:val="-4"/>
          <w:sz w:val="24"/>
          <w:szCs w:val="24"/>
        </w:rPr>
        <w:t xml:space="preserve">współczynnika korygującego przez </w:t>
      </w:r>
      <w:r w:rsidR="00205E0F" w:rsidRPr="00585123">
        <w:rPr>
          <w:rFonts w:ascii="Arial" w:hAnsi="Arial" w:cs="Arial"/>
          <w:spacing w:val="-4"/>
          <w:sz w:val="24"/>
          <w:szCs w:val="24"/>
        </w:rPr>
        <w:t xml:space="preserve">te </w:t>
      </w:r>
      <w:r w:rsidR="00CF47A0" w:rsidRPr="00585123">
        <w:rPr>
          <w:rFonts w:ascii="Arial" w:hAnsi="Arial" w:cs="Arial"/>
          <w:spacing w:val="-4"/>
          <w:sz w:val="24"/>
          <w:szCs w:val="24"/>
        </w:rPr>
        <w:t>podmioty</w:t>
      </w:r>
      <w:r w:rsidR="00CF47A0" w:rsidRPr="00585123">
        <w:rPr>
          <w:rFonts w:ascii="Arial" w:eastAsia="Times New Roman" w:hAnsi="Arial" w:cs="Arial"/>
          <w:spacing w:val="-4"/>
          <w:sz w:val="24"/>
          <w:szCs w:val="24"/>
        </w:rPr>
        <w:t xml:space="preserve">, będzie możliwe, o ile </w:t>
      </w:r>
      <w:r w:rsidR="00CF47A0" w:rsidRPr="00585123">
        <w:rPr>
          <w:rFonts w:ascii="Arial" w:hAnsi="Arial" w:cs="Arial"/>
          <w:spacing w:val="-4"/>
          <w:sz w:val="24"/>
          <w:szCs w:val="24"/>
        </w:rPr>
        <w:t>udostępnie</w:t>
      </w:r>
      <w:r w:rsidR="00962B2F" w:rsidRPr="00585123">
        <w:rPr>
          <w:rFonts w:ascii="Arial" w:hAnsi="Arial" w:cs="Arial"/>
          <w:spacing w:val="-4"/>
          <w:sz w:val="24"/>
          <w:szCs w:val="24"/>
        </w:rPr>
        <w:t xml:space="preserve">nie bazy szpitalnej </w:t>
      </w:r>
      <w:r w:rsidR="003A287F" w:rsidRPr="00585123">
        <w:rPr>
          <w:rFonts w:ascii="Arial" w:hAnsi="Arial" w:cs="Arial"/>
          <w:spacing w:val="-4"/>
          <w:sz w:val="24"/>
          <w:szCs w:val="24"/>
        </w:rPr>
        <w:t xml:space="preserve">następuje </w:t>
      </w:r>
      <w:r w:rsidR="00205E0F" w:rsidRPr="00585123">
        <w:rPr>
          <w:rFonts w:ascii="Arial" w:hAnsi="Arial" w:cs="Arial"/>
          <w:spacing w:val="-4"/>
          <w:sz w:val="24"/>
          <w:szCs w:val="24"/>
        </w:rPr>
        <w:t xml:space="preserve">na </w:t>
      </w:r>
      <w:r w:rsidR="00962B2F" w:rsidRPr="00585123">
        <w:rPr>
          <w:rFonts w:ascii="Arial" w:hAnsi="Arial" w:cs="Arial"/>
          <w:spacing w:val="-4"/>
          <w:sz w:val="24"/>
          <w:szCs w:val="24"/>
        </w:rPr>
        <w:t xml:space="preserve">zasadach określonych </w:t>
      </w:r>
      <w:r w:rsidR="003A287F" w:rsidRPr="00585123">
        <w:rPr>
          <w:rFonts w:ascii="Arial" w:hAnsi="Arial" w:cs="Arial"/>
          <w:spacing w:val="-4"/>
          <w:sz w:val="24"/>
          <w:szCs w:val="24"/>
        </w:rPr>
        <w:t xml:space="preserve">w art. 89 ust. 4 ww. ustawy </w:t>
      </w:r>
      <w:r w:rsidR="007A76DC" w:rsidRPr="00585123">
        <w:rPr>
          <w:rFonts w:ascii="Arial" w:hAnsi="Arial" w:cs="Arial"/>
          <w:spacing w:val="-4"/>
          <w:sz w:val="24"/>
          <w:szCs w:val="24"/>
        </w:rPr>
        <w:t>o </w:t>
      </w:r>
      <w:r w:rsidRPr="00585123">
        <w:rPr>
          <w:rFonts w:ascii="Arial" w:hAnsi="Arial" w:cs="Arial"/>
          <w:spacing w:val="-4"/>
          <w:sz w:val="24"/>
          <w:szCs w:val="24"/>
        </w:rPr>
        <w:t>działalności leczniczej;</w:t>
      </w:r>
    </w:p>
    <w:p w:rsidR="00552ABC" w:rsidRPr="00585123" w:rsidRDefault="002317A5" w:rsidP="007A76DC">
      <w:pPr>
        <w:pStyle w:val="Akapitzlist"/>
        <w:numPr>
          <w:ilvl w:val="0"/>
          <w:numId w:val="22"/>
        </w:numPr>
        <w:spacing w:after="60" w:line="360" w:lineRule="auto"/>
        <w:ind w:left="567" w:hanging="425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w</w:t>
      </w:r>
      <w:r w:rsidR="008D180A" w:rsidRPr="00585123">
        <w:rPr>
          <w:rFonts w:ascii="Arial" w:hAnsi="Arial" w:cs="Arial"/>
          <w:spacing w:val="-4"/>
          <w:sz w:val="24"/>
          <w:szCs w:val="24"/>
        </w:rPr>
        <w:t>prowadzono także</w:t>
      </w:r>
      <w:r w:rsidR="005F78B4" w:rsidRPr="00585123">
        <w:rPr>
          <w:rFonts w:ascii="Arial" w:hAnsi="Arial" w:cs="Arial"/>
          <w:spacing w:val="-4"/>
          <w:sz w:val="24"/>
          <w:szCs w:val="24"/>
        </w:rPr>
        <w:t xml:space="preserve"> współczynnik</w:t>
      </w:r>
      <w:r w:rsidR="00E82093" w:rsidRPr="00585123">
        <w:rPr>
          <w:rFonts w:ascii="Arial" w:hAnsi="Arial" w:cs="Arial"/>
          <w:spacing w:val="-4"/>
          <w:sz w:val="24"/>
          <w:szCs w:val="24"/>
        </w:rPr>
        <w:t>i</w:t>
      </w:r>
      <w:r w:rsidR="00EB48F0" w:rsidRPr="00585123">
        <w:rPr>
          <w:rFonts w:ascii="Arial" w:hAnsi="Arial" w:cs="Arial"/>
          <w:spacing w:val="-4"/>
          <w:sz w:val="24"/>
          <w:szCs w:val="24"/>
        </w:rPr>
        <w:t xml:space="preserve"> korygując</w:t>
      </w:r>
      <w:r w:rsidR="00E82093" w:rsidRPr="00585123">
        <w:rPr>
          <w:rFonts w:ascii="Arial" w:hAnsi="Arial" w:cs="Arial"/>
          <w:spacing w:val="-4"/>
          <w:sz w:val="24"/>
          <w:szCs w:val="24"/>
        </w:rPr>
        <w:t>e</w:t>
      </w:r>
      <w:r w:rsidR="000C003E" w:rsidRPr="00585123">
        <w:rPr>
          <w:rFonts w:ascii="Arial" w:hAnsi="Arial" w:cs="Arial"/>
          <w:spacing w:val="-4"/>
          <w:sz w:val="24"/>
          <w:szCs w:val="24"/>
        </w:rPr>
        <w:t xml:space="preserve"> dla</w:t>
      </w:r>
      <w:r w:rsidR="00552ABC" w:rsidRPr="00585123">
        <w:rPr>
          <w:rFonts w:ascii="Arial" w:hAnsi="Arial" w:cs="Arial"/>
          <w:spacing w:val="-4"/>
          <w:sz w:val="24"/>
          <w:szCs w:val="24"/>
        </w:rPr>
        <w:t>:</w:t>
      </w:r>
    </w:p>
    <w:p w:rsidR="007A76DC" w:rsidRPr="00585123" w:rsidRDefault="007A76DC" w:rsidP="007A76DC">
      <w:pPr>
        <w:pStyle w:val="Akapitzlist"/>
        <w:numPr>
          <w:ilvl w:val="0"/>
          <w:numId w:val="21"/>
        </w:numPr>
        <w:tabs>
          <w:tab w:val="left" w:pos="851"/>
        </w:tabs>
        <w:spacing w:after="60" w:line="360" w:lineRule="auto"/>
        <w:ind w:left="567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grupy świadczeniodawców udzielających świadczeń w zakresie ortopedia i traumatologia narządu ruchu, którzy w ciągu roku kalendarzowego wykonują co najmniej 50 operacji rewizyjnych po endoprote</w:t>
      </w:r>
      <w:r w:rsidR="00331A16" w:rsidRPr="00585123">
        <w:rPr>
          <w:rFonts w:ascii="Arial" w:hAnsi="Arial" w:cs="Arial"/>
          <w:spacing w:val="-4"/>
          <w:sz w:val="24"/>
          <w:szCs w:val="24"/>
        </w:rPr>
        <w:t>zoplastyce stawu biodrowego lub </w:t>
      </w:r>
      <w:r w:rsidRPr="00585123">
        <w:rPr>
          <w:rFonts w:ascii="Arial" w:hAnsi="Arial" w:cs="Arial"/>
          <w:spacing w:val="-4"/>
          <w:sz w:val="24"/>
          <w:szCs w:val="24"/>
        </w:rPr>
        <w:t>kolanowego (dotyczy to przypadków gdzie pierwotna endoprotezoplastyka stawu biodrowego lub kolanowego wykonana została u innego świadczeniodawcy). Zastosowanie współczynnika ma na celu podniesienie jakości udzielanych świadczeń oraz umożliwienie pacjentom uzyskania ś</w:t>
      </w:r>
      <w:r w:rsidR="00331A16" w:rsidRPr="00585123">
        <w:rPr>
          <w:rFonts w:ascii="Arial" w:hAnsi="Arial" w:cs="Arial"/>
          <w:spacing w:val="-4"/>
          <w:sz w:val="24"/>
          <w:szCs w:val="24"/>
        </w:rPr>
        <w:t>wiadczeń na właściwym poziomie,</w:t>
      </w:r>
    </w:p>
    <w:p w:rsidR="00331A16" w:rsidRPr="00585123" w:rsidRDefault="007A76DC" w:rsidP="00331A16">
      <w:pPr>
        <w:pStyle w:val="Akapitzlist"/>
        <w:numPr>
          <w:ilvl w:val="0"/>
          <w:numId w:val="21"/>
        </w:numPr>
        <w:tabs>
          <w:tab w:val="left" w:pos="851"/>
        </w:tabs>
        <w:spacing w:after="60" w:line="360" w:lineRule="auto"/>
        <w:ind w:left="567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wybranych świadczeń - w sytuacji wykonania jednoczasowo zabiegów operacyjnych na narządach parzystych - rozliczanych grupami: B16, B16G, B17, B17G, B18, B19, J01, J02, J04 oraz H94. </w:t>
      </w:r>
      <w:r w:rsidR="00331A16" w:rsidRPr="00585123">
        <w:rPr>
          <w:rFonts w:ascii="Arial" w:hAnsi="Arial" w:cs="Arial"/>
          <w:spacing w:val="-4"/>
          <w:sz w:val="24"/>
          <w:szCs w:val="24"/>
        </w:rPr>
        <w:t>Zastosowanie współczynnika ma na celu umożliwienie sfinansowania zrealizowanych procedur w przypadkach jednoczasowego wykonania zabiegów obustronnych, które ze względów klinicznych powinny być wykonywane jednoczasowo, a często nie są ze względów finansowych, ponieważ wartości punktowe JGP nie pokrywają pełnych kosztów zabiegu w takich przypadkach;</w:t>
      </w:r>
    </w:p>
    <w:p w:rsidR="00734DB9" w:rsidRPr="00585123" w:rsidRDefault="00C6103C" w:rsidP="00734DB9">
      <w:pPr>
        <w:pStyle w:val="Akapitzlist"/>
        <w:tabs>
          <w:tab w:val="left" w:pos="851"/>
        </w:tabs>
        <w:spacing w:after="60" w:line="360" w:lineRule="auto"/>
        <w:ind w:left="567" w:hanging="425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4</w:t>
      </w:r>
      <w:r w:rsidR="007A76DC" w:rsidRPr="00585123">
        <w:rPr>
          <w:rFonts w:ascii="Arial" w:hAnsi="Arial" w:cs="Arial"/>
          <w:spacing w:val="-4"/>
          <w:sz w:val="24"/>
          <w:szCs w:val="24"/>
        </w:rPr>
        <w:t xml:space="preserve">) </w:t>
      </w:r>
      <w:r w:rsidR="00734DB9" w:rsidRPr="00585123">
        <w:rPr>
          <w:rFonts w:ascii="Arial" w:hAnsi="Arial" w:cs="Arial"/>
          <w:spacing w:val="-4"/>
          <w:sz w:val="24"/>
          <w:szCs w:val="24"/>
        </w:rPr>
        <w:tab/>
        <w:t xml:space="preserve">w katalogu grup, </w:t>
      </w:r>
      <w:r w:rsidR="007A76DC" w:rsidRPr="00585123">
        <w:rPr>
          <w:rFonts w:ascii="Arial" w:hAnsi="Arial" w:cs="Arial"/>
          <w:spacing w:val="-4"/>
          <w:sz w:val="24"/>
          <w:szCs w:val="24"/>
        </w:rPr>
        <w:t>w</w:t>
      </w:r>
      <w:r w:rsidR="00BD338A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5F78B4" w:rsidRPr="00585123">
        <w:rPr>
          <w:rFonts w:ascii="Arial" w:hAnsi="Arial" w:cs="Arial"/>
          <w:spacing w:val="-4"/>
          <w:sz w:val="24"/>
          <w:szCs w:val="24"/>
        </w:rPr>
        <w:t>oparciu o analizę z realizacji</w:t>
      </w:r>
      <w:r w:rsidR="00B91A36" w:rsidRPr="00585123">
        <w:rPr>
          <w:rFonts w:ascii="Arial" w:hAnsi="Arial" w:cs="Arial"/>
          <w:spacing w:val="-4"/>
          <w:sz w:val="24"/>
          <w:szCs w:val="24"/>
        </w:rPr>
        <w:t xml:space="preserve"> świadczeń w ramach sytemu JGP </w:t>
      </w:r>
      <w:r w:rsidR="00997C66" w:rsidRPr="00585123">
        <w:rPr>
          <w:rFonts w:ascii="Arial" w:hAnsi="Arial" w:cs="Arial"/>
          <w:spacing w:val="-4"/>
          <w:sz w:val="24"/>
          <w:szCs w:val="24"/>
        </w:rPr>
        <w:t xml:space="preserve">oraz </w:t>
      </w:r>
      <w:r w:rsidR="00B91A36" w:rsidRPr="00585123">
        <w:rPr>
          <w:rFonts w:ascii="Arial" w:hAnsi="Arial" w:cs="Arial"/>
          <w:spacing w:val="-4"/>
          <w:sz w:val="24"/>
          <w:szCs w:val="24"/>
        </w:rPr>
        <w:t>analizę</w:t>
      </w:r>
      <w:r w:rsidR="00997C66" w:rsidRPr="00585123">
        <w:rPr>
          <w:rFonts w:ascii="Arial" w:hAnsi="Arial" w:cs="Arial"/>
          <w:spacing w:val="-4"/>
          <w:sz w:val="24"/>
          <w:szCs w:val="24"/>
        </w:rPr>
        <w:t xml:space="preserve"> koszt</w:t>
      </w:r>
      <w:r w:rsidR="00B91A36" w:rsidRPr="00585123">
        <w:rPr>
          <w:rFonts w:ascii="Arial" w:hAnsi="Arial" w:cs="Arial"/>
          <w:spacing w:val="-4"/>
          <w:sz w:val="24"/>
          <w:szCs w:val="24"/>
        </w:rPr>
        <w:t>ową przekazaną</w:t>
      </w:r>
      <w:r w:rsidR="00734DB9" w:rsidRPr="00585123">
        <w:rPr>
          <w:rFonts w:ascii="Arial" w:hAnsi="Arial" w:cs="Arial"/>
          <w:spacing w:val="-4"/>
          <w:sz w:val="24"/>
          <w:szCs w:val="24"/>
        </w:rPr>
        <w:t xml:space="preserve"> przez </w:t>
      </w:r>
      <w:proofErr w:type="spellStart"/>
      <w:r w:rsidR="00734DB9" w:rsidRPr="00585123">
        <w:rPr>
          <w:rFonts w:ascii="Arial" w:hAnsi="Arial" w:cs="Arial"/>
          <w:spacing w:val="-4"/>
          <w:sz w:val="24"/>
          <w:szCs w:val="24"/>
        </w:rPr>
        <w:t>AOTMiT</w:t>
      </w:r>
      <w:proofErr w:type="spellEnd"/>
      <w:r w:rsidR="00734DB9" w:rsidRPr="00585123">
        <w:rPr>
          <w:rFonts w:ascii="Arial" w:hAnsi="Arial" w:cs="Arial"/>
          <w:spacing w:val="-4"/>
          <w:sz w:val="24"/>
          <w:szCs w:val="24"/>
        </w:rPr>
        <w:t>:</w:t>
      </w:r>
    </w:p>
    <w:p w:rsidR="00564AEB" w:rsidRPr="00585123" w:rsidRDefault="001016C0" w:rsidP="00734DB9">
      <w:pPr>
        <w:pStyle w:val="Akapitzlist"/>
        <w:numPr>
          <w:ilvl w:val="0"/>
          <w:numId w:val="25"/>
        </w:numPr>
        <w:tabs>
          <w:tab w:val="left" w:pos="851"/>
        </w:tabs>
        <w:spacing w:after="60" w:line="360" w:lineRule="auto"/>
        <w:ind w:left="567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 grupach </w:t>
      </w:r>
      <w:r w:rsidR="002928F5" w:rsidRPr="00585123">
        <w:rPr>
          <w:rFonts w:ascii="Arial" w:hAnsi="Arial" w:cs="Arial"/>
          <w:spacing w:val="-4"/>
          <w:sz w:val="24"/>
          <w:szCs w:val="24"/>
        </w:rPr>
        <w:t>dla typu umowy</w:t>
      </w:r>
      <w:r w:rsidR="002928F5" w:rsidRPr="00585123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585123">
        <w:rPr>
          <w:rFonts w:ascii="Arial" w:hAnsi="Arial" w:cs="Arial"/>
          <w:i/>
          <w:spacing w:val="-4"/>
          <w:sz w:val="24"/>
          <w:szCs w:val="24"/>
        </w:rPr>
        <w:t>hospitalizacja planowa</w:t>
      </w:r>
      <w:r w:rsidR="008104EB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2928F5" w:rsidRPr="00585123">
        <w:rPr>
          <w:rFonts w:ascii="Arial" w:hAnsi="Arial" w:cs="Arial"/>
          <w:spacing w:val="-4"/>
          <w:sz w:val="24"/>
          <w:szCs w:val="24"/>
        </w:rPr>
        <w:t xml:space="preserve">wprowadzono </w:t>
      </w:r>
      <w:r w:rsidR="0007602F" w:rsidRPr="00585123">
        <w:rPr>
          <w:rFonts w:ascii="Arial" w:hAnsi="Arial" w:cs="Arial"/>
          <w:spacing w:val="-4"/>
          <w:sz w:val="24"/>
          <w:szCs w:val="24"/>
        </w:rPr>
        <w:t xml:space="preserve">od </w:t>
      </w:r>
      <w:r w:rsidR="00C46D82" w:rsidRPr="00585123">
        <w:rPr>
          <w:rFonts w:ascii="Arial" w:hAnsi="Arial" w:cs="Arial"/>
          <w:spacing w:val="-4"/>
          <w:sz w:val="24"/>
          <w:szCs w:val="24"/>
        </w:rPr>
        <w:br/>
      </w:r>
      <w:r w:rsidR="0007602F" w:rsidRPr="00585123">
        <w:rPr>
          <w:rFonts w:ascii="Arial" w:hAnsi="Arial" w:cs="Arial"/>
          <w:spacing w:val="-4"/>
          <w:sz w:val="24"/>
          <w:szCs w:val="24"/>
        </w:rPr>
        <w:t xml:space="preserve">1 października br. </w:t>
      </w:r>
      <w:r w:rsidR="002928F5" w:rsidRPr="00585123">
        <w:rPr>
          <w:rFonts w:ascii="Arial" w:hAnsi="Arial" w:cs="Arial"/>
          <w:spacing w:val="-4"/>
          <w:sz w:val="24"/>
          <w:szCs w:val="24"/>
        </w:rPr>
        <w:t xml:space="preserve">wartość punktową </w:t>
      </w:r>
      <w:r w:rsidR="0007602F" w:rsidRPr="00585123">
        <w:rPr>
          <w:rFonts w:ascii="Arial" w:hAnsi="Arial" w:cs="Arial"/>
          <w:spacing w:val="-4"/>
          <w:sz w:val="24"/>
          <w:szCs w:val="24"/>
        </w:rPr>
        <w:t xml:space="preserve">stanowiącą 92% </w:t>
      </w:r>
      <w:r w:rsidR="00A40E42" w:rsidRPr="00585123">
        <w:rPr>
          <w:rFonts w:ascii="Arial" w:hAnsi="Arial" w:cs="Arial"/>
          <w:spacing w:val="-4"/>
          <w:sz w:val="24"/>
          <w:szCs w:val="24"/>
        </w:rPr>
        <w:t>wartości bazowej danej JGP (dotychczas 95%)</w:t>
      </w:r>
      <w:r w:rsidR="00564AEB" w:rsidRPr="00585123">
        <w:rPr>
          <w:rFonts w:ascii="Arial" w:hAnsi="Arial" w:cs="Arial"/>
          <w:spacing w:val="-4"/>
          <w:sz w:val="24"/>
          <w:szCs w:val="24"/>
        </w:rPr>
        <w:t>,</w:t>
      </w:r>
    </w:p>
    <w:p w:rsidR="00A40E42" w:rsidRPr="00585123" w:rsidRDefault="00A40E42" w:rsidP="00A40E42">
      <w:pPr>
        <w:pStyle w:val="Akapitzlist"/>
        <w:numPr>
          <w:ilvl w:val="0"/>
          <w:numId w:val="25"/>
        </w:numPr>
        <w:tabs>
          <w:tab w:val="left" w:pos="851"/>
        </w:tabs>
        <w:spacing w:after="60" w:line="360" w:lineRule="auto"/>
        <w:ind w:left="567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w grupach dla typu umowy</w:t>
      </w:r>
      <w:r w:rsidRPr="00585123">
        <w:rPr>
          <w:rFonts w:ascii="Arial" w:hAnsi="Arial" w:cs="Arial"/>
          <w:i/>
          <w:spacing w:val="-4"/>
          <w:sz w:val="24"/>
          <w:szCs w:val="24"/>
        </w:rPr>
        <w:t xml:space="preserve"> leczenie jednego dnia</w:t>
      </w:r>
      <w:r w:rsidRPr="00585123">
        <w:rPr>
          <w:rFonts w:ascii="Arial" w:hAnsi="Arial" w:cs="Arial"/>
          <w:spacing w:val="-4"/>
          <w:sz w:val="24"/>
          <w:szCs w:val="24"/>
        </w:rPr>
        <w:t xml:space="preserve"> wprowadzono od </w:t>
      </w:r>
      <w:r w:rsidR="00C46D82" w:rsidRPr="00585123">
        <w:rPr>
          <w:rFonts w:ascii="Arial" w:hAnsi="Arial" w:cs="Arial"/>
          <w:spacing w:val="-4"/>
          <w:sz w:val="24"/>
          <w:szCs w:val="24"/>
        </w:rPr>
        <w:br/>
      </w:r>
      <w:r w:rsidRPr="00585123">
        <w:rPr>
          <w:rFonts w:ascii="Arial" w:hAnsi="Arial" w:cs="Arial"/>
          <w:spacing w:val="-4"/>
          <w:sz w:val="24"/>
          <w:szCs w:val="24"/>
        </w:rPr>
        <w:t>1 października br. wartość punktową stanowiącą 85% wartości bazowej danej JGP (dotychczas 90%),</w:t>
      </w:r>
    </w:p>
    <w:p w:rsidR="00564AEB" w:rsidRPr="00585123" w:rsidRDefault="00564AEB" w:rsidP="00A40E42">
      <w:pPr>
        <w:pStyle w:val="Akapitzlist"/>
        <w:numPr>
          <w:ilvl w:val="0"/>
          <w:numId w:val="25"/>
        </w:numPr>
        <w:tabs>
          <w:tab w:val="left" w:pos="851"/>
        </w:tabs>
        <w:spacing w:after="60" w:line="360" w:lineRule="auto"/>
        <w:ind w:left="567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dla hospitalizacji &lt; 3 dni - typ umowy</w:t>
      </w:r>
      <w:r w:rsidRPr="00585123">
        <w:rPr>
          <w:rFonts w:ascii="Arial" w:hAnsi="Arial" w:cs="Arial"/>
          <w:i/>
          <w:spacing w:val="-4"/>
          <w:sz w:val="24"/>
          <w:szCs w:val="24"/>
        </w:rPr>
        <w:t xml:space="preserve"> hospitalizacja/ hospitalizacja planowa</w:t>
      </w:r>
      <w:r w:rsidRPr="00585123">
        <w:rPr>
          <w:rFonts w:ascii="Arial" w:hAnsi="Arial" w:cs="Arial"/>
          <w:spacing w:val="-4"/>
          <w:sz w:val="24"/>
          <w:szCs w:val="24"/>
        </w:rPr>
        <w:t xml:space="preserve"> w grupach zachowawczych wprowadzono wartość punktową na poziomie 50%</w:t>
      </w:r>
      <w:r w:rsidR="00E87F99" w:rsidRPr="00585123">
        <w:rPr>
          <w:rFonts w:ascii="Arial" w:hAnsi="Arial" w:cs="Arial"/>
          <w:spacing w:val="-4"/>
          <w:sz w:val="24"/>
          <w:szCs w:val="24"/>
        </w:rPr>
        <w:t xml:space="preserve"> (dotychczas 30%dla hospitalizacji &lt; 2 dni),</w:t>
      </w:r>
      <w:r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7A76DC" w:rsidRPr="00585123">
        <w:rPr>
          <w:rFonts w:ascii="Arial" w:hAnsi="Arial" w:cs="Arial"/>
          <w:spacing w:val="-4"/>
          <w:sz w:val="24"/>
          <w:szCs w:val="24"/>
        </w:rPr>
        <w:t>a </w:t>
      </w:r>
      <w:r w:rsidRPr="00585123">
        <w:rPr>
          <w:rFonts w:ascii="Arial" w:hAnsi="Arial" w:cs="Arial"/>
          <w:spacing w:val="-4"/>
          <w:sz w:val="24"/>
          <w:szCs w:val="24"/>
        </w:rPr>
        <w:t>w grupach zabiegowych na poziomie 92%</w:t>
      </w:r>
      <w:r w:rsidRPr="00585123">
        <w:t xml:space="preserve"> </w:t>
      </w:r>
      <w:r w:rsidRPr="00585123">
        <w:rPr>
          <w:rFonts w:ascii="Arial" w:hAnsi="Arial" w:cs="Arial"/>
          <w:spacing w:val="-4"/>
          <w:sz w:val="24"/>
          <w:szCs w:val="24"/>
        </w:rPr>
        <w:t>stawki bazowej</w:t>
      </w:r>
      <w:r w:rsidR="00E87F99" w:rsidRPr="00585123">
        <w:rPr>
          <w:rFonts w:ascii="Arial" w:hAnsi="Arial" w:cs="Arial"/>
          <w:spacing w:val="-4"/>
          <w:sz w:val="24"/>
          <w:szCs w:val="24"/>
        </w:rPr>
        <w:t xml:space="preserve"> (dotychczas 90% dla hospitalizacji &lt; 2 dni)</w:t>
      </w:r>
      <w:r w:rsidRPr="00585123">
        <w:rPr>
          <w:rFonts w:ascii="Arial" w:hAnsi="Arial" w:cs="Arial"/>
          <w:spacing w:val="-4"/>
          <w:sz w:val="24"/>
          <w:szCs w:val="24"/>
        </w:rPr>
        <w:t>,</w:t>
      </w:r>
    </w:p>
    <w:p w:rsidR="00564AEB" w:rsidRPr="00585123" w:rsidRDefault="00997C66" w:rsidP="007A76DC">
      <w:pPr>
        <w:pStyle w:val="Akapitzlist"/>
        <w:numPr>
          <w:ilvl w:val="0"/>
          <w:numId w:val="16"/>
        </w:numPr>
        <w:tabs>
          <w:tab w:val="left" w:pos="851"/>
        </w:tabs>
        <w:spacing w:line="360" w:lineRule="auto"/>
        <w:ind w:left="567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wyodrębniono grupy dla starszej populacji, gdzie według analizy obserwowana jest największa dysproporcja w medianie czasu hospitalizacji pomiędzy populacją </w:t>
      </w:r>
      <w:r w:rsidRPr="00585123">
        <w:rPr>
          <w:rFonts w:ascii="Arial" w:hAnsi="Arial" w:cs="Arial"/>
          <w:spacing w:val="-4"/>
          <w:sz w:val="24"/>
          <w:szCs w:val="24"/>
        </w:rPr>
        <w:lastRenderedPageBreak/>
        <w:t>pacjentów starszych (&gt;65 r.ż.) i młodszych (&lt;66 r.ż.) – z uwagi na istotnie różne koszty leczenia pacjentów w</w:t>
      </w:r>
      <w:r w:rsidR="00331A16" w:rsidRPr="00585123">
        <w:rPr>
          <w:rFonts w:ascii="Arial" w:hAnsi="Arial" w:cs="Arial"/>
          <w:spacing w:val="-4"/>
          <w:sz w:val="24"/>
          <w:szCs w:val="24"/>
        </w:rPr>
        <w:t xml:space="preserve"> zależności od wieku pacjentów </w:t>
      </w:r>
      <w:r w:rsidRPr="00585123">
        <w:rPr>
          <w:rFonts w:ascii="Arial" w:hAnsi="Arial" w:cs="Arial"/>
          <w:spacing w:val="-4"/>
          <w:sz w:val="24"/>
          <w:szCs w:val="24"/>
        </w:rPr>
        <w:t xml:space="preserve">czy też choroby współistniejące, rozliczanych grupami: C21, E22, E74, F07, F47, H62, </w:t>
      </w:r>
      <w:r w:rsidR="00564AEB" w:rsidRPr="00585123">
        <w:rPr>
          <w:rFonts w:ascii="Arial" w:hAnsi="Arial" w:cs="Arial"/>
          <w:spacing w:val="-4"/>
          <w:sz w:val="24"/>
          <w:szCs w:val="24"/>
        </w:rPr>
        <w:t>H74, H85, J03, K53, L62.</w:t>
      </w:r>
    </w:p>
    <w:p w:rsidR="005F78B4" w:rsidRPr="00585123" w:rsidRDefault="001016C0" w:rsidP="007A76DC">
      <w:pPr>
        <w:pStyle w:val="Akapitzlist"/>
        <w:tabs>
          <w:tab w:val="left" w:pos="851"/>
        </w:tabs>
        <w:spacing w:after="0" w:line="360" w:lineRule="auto"/>
        <w:ind w:left="567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>Powyższe zmiany mają na celu urealnienie i dostosowanie finansowania hospitalizacji w zależności od długości pobytu pacjentów w szpitalu, jak również premiowanie szyb</w:t>
      </w:r>
      <w:r w:rsidR="007A76DC" w:rsidRPr="00585123">
        <w:rPr>
          <w:rFonts w:ascii="Arial" w:hAnsi="Arial" w:cs="Arial"/>
          <w:spacing w:val="-4"/>
          <w:sz w:val="24"/>
          <w:szCs w:val="24"/>
        </w:rPr>
        <w:t>kiej i kompleksowej diagnostyki;</w:t>
      </w:r>
    </w:p>
    <w:p w:rsidR="006F0836" w:rsidRPr="00585123" w:rsidRDefault="00BD338A" w:rsidP="00C6103C">
      <w:pPr>
        <w:pStyle w:val="Akapitzlist"/>
        <w:numPr>
          <w:ilvl w:val="0"/>
          <w:numId w:val="2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 katalogu produktów onkologicznych – pakiety onkologiczne, </w:t>
      </w:r>
      <w:r w:rsidR="00734DB9" w:rsidRPr="00585123">
        <w:rPr>
          <w:rFonts w:ascii="Arial" w:hAnsi="Arial" w:cs="Arial"/>
          <w:spacing w:val="-4"/>
          <w:sz w:val="24"/>
          <w:szCs w:val="24"/>
        </w:rPr>
        <w:t xml:space="preserve">z związku </w:t>
      </w:r>
      <w:r w:rsidRPr="00585123">
        <w:rPr>
          <w:rFonts w:ascii="Arial" w:hAnsi="Arial" w:cs="Arial"/>
          <w:spacing w:val="-4"/>
          <w:sz w:val="24"/>
          <w:szCs w:val="24"/>
        </w:rPr>
        <w:t>z </w:t>
      </w:r>
      <w:r w:rsidR="00734DB9" w:rsidRPr="00585123">
        <w:rPr>
          <w:rFonts w:ascii="Arial" w:hAnsi="Arial" w:cs="Arial"/>
          <w:spacing w:val="-4"/>
          <w:sz w:val="24"/>
          <w:szCs w:val="24"/>
        </w:rPr>
        <w:t>nowelizacją rozporządzenia z zakresu leczenia szpitalnego</w:t>
      </w:r>
      <w:r w:rsidRPr="00585123">
        <w:rPr>
          <w:rFonts w:ascii="Arial" w:hAnsi="Arial" w:cs="Arial"/>
          <w:spacing w:val="-4"/>
          <w:sz w:val="24"/>
          <w:szCs w:val="24"/>
        </w:rPr>
        <w:t xml:space="preserve"> i </w:t>
      </w:r>
      <w:r w:rsidR="006F0836" w:rsidRPr="00585123">
        <w:rPr>
          <w:rFonts w:ascii="Arial" w:hAnsi="Arial" w:cs="Arial"/>
          <w:spacing w:val="-4"/>
          <w:sz w:val="24"/>
          <w:szCs w:val="24"/>
        </w:rPr>
        <w:t>rozporządzenia w </w:t>
      </w:r>
      <w:r w:rsidRPr="00585123">
        <w:rPr>
          <w:rFonts w:ascii="Arial" w:hAnsi="Arial" w:cs="Arial"/>
          <w:spacing w:val="-4"/>
          <w:sz w:val="24"/>
          <w:szCs w:val="24"/>
        </w:rPr>
        <w:t>sprawie wzoru karty diagnostyki i leczenia onkologicznego</w:t>
      </w:r>
      <w:r w:rsidR="00734DB9" w:rsidRPr="00585123">
        <w:rPr>
          <w:rFonts w:ascii="Arial" w:hAnsi="Arial" w:cs="Arial"/>
          <w:spacing w:val="-4"/>
          <w:sz w:val="24"/>
          <w:szCs w:val="24"/>
        </w:rPr>
        <w:t xml:space="preserve">, </w:t>
      </w:r>
      <w:r w:rsidR="00331A16" w:rsidRPr="00585123">
        <w:rPr>
          <w:rFonts w:ascii="Arial" w:hAnsi="Arial" w:cs="Arial"/>
          <w:spacing w:val="-4"/>
          <w:sz w:val="24"/>
          <w:szCs w:val="24"/>
        </w:rPr>
        <w:t xml:space="preserve">w </w:t>
      </w:r>
      <w:r w:rsidR="00734DB9" w:rsidRPr="00585123">
        <w:rPr>
          <w:rFonts w:ascii="Arial" w:hAnsi="Arial" w:cs="Arial"/>
          <w:spacing w:val="-4"/>
          <w:sz w:val="24"/>
          <w:szCs w:val="24"/>
        </w:rPr>
        <w:t xml:space="preserve">ramach leczenia onkologicznego </w:t>
      </w:r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włączone zostały nowe zakresy skojarzone, tj. dermatologia i wenerologia – hospitalizacja dermatologia i wenerologia – hospitalizacja – hospitalizacja planowa oraz </w:t>
      </w:r>
      <w:r w:rsidR="00734DB9" w:rsidRPr="00585123">
        <w:rPr>
          <w:rFonts w:ascii="Arial" w:hAnsi="Arial" w:cs="Arial"/>
          <w:spacing w:val="-4"/>
          <w:sz w:val="24"/>
          <w:szCs w:val="24"/>
        </w:rPr>
        <w:t>rozszerzono listę rozpoznań o rozpoznania uwzględniające nowotwory niezłośliwe: dużych gruczołów ślinowych, ucha środkowego i układu oddechowego ora</w:t>
      </w:r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z </w:t>
      </w:r>
      <w:proofErr w:type="spellStart"/>
      <w:r w:rsidR="00E1442A" w:rsidRPr="00585123">
        <w:rPr>
          <w:rFonts w:ascii="Arial" w:hAnsi="Arial" w:cs="Arial"/>
          <w:spacing w:val="-4"/>
          <w:sz w:val="24"/>
          <w:szCs w:val="24"/>
        </w:rPr>
        <w:t>nadpłytkowość</w:t>
      </w:r>
      <w:proofErr w:type="spellEnd"/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 samoistną, w</w:t>
      </w:r>
      <w:r w:rsidR="00734DB9" w:rsidRPr="00585123">
        <w:rPr>
          <w:rFonts w:ascii="Arial" w:hAnsi="Arial" w:cs="Arial"/>
          <w:spacing w:val="-4"/>
          <w:sz w:val="24"/>
          <w:szCs w:val="24"/>
        </w:rPr>
        <w:t>g ICD-</w:t>
      </w:r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10: D11.0, D14,0 i </w:t>
      </w:r>
      <w:r w:rsidR="00734DB9" w:rsidRPr="00585123">
        <w:rPr>
          <w:rFonts w:ascii="Arial" w:hAnsi="Arial" w:cs="Arial"/>
          <w:spacing w:val="-4"/>
          <w:sz w:val="24"/>
          <w:szCs w:val="24"/>
        </w:rPr>
        <w:t>D</w:t>
      </w:r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75.2., aby były spójne z treścią ww. rozporządzeń. W ślad za nowymi </w:t>
      </w:r>
      <w:proofErr w:type="spellStart"/>
      <w:r w:rsidR="00E1442A" w:rsidRPr="00585123">
        <w:rPr>
          <w:rFonts w:ascii="Arial" w:hAnsi="Arial" w:cs="Arial"/>
          <w:spacing w:val="-4"/>
          <w:sz w:val="24"/>
          <w:szCs w:val="24"/>
        </w:rPr>
        <w:t>rozpoznaniami</w:t>
      </w:r>
      <w:proofErr w:type="spellEnd"/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734DB9" w:rsidRPr="00585123">
        <w:rPr>
          <w:rFonts w:ascii="Arial" w:hAnsi="Arial" w:cs="Arial"/>
          <w:spacing w:val="-4"/>
          <w:sz w:val="24"/>
          <w:szCs w:val="24"/>
        </w:rPr>
        <w:t xml:space="preserve">rozszerzono </w:t>
      </w:r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także </w:t>
      </w:r>
      <w:r w:rsidR="00734DB9" w:rsidRPr="00585123">
        <w:rPr>
          <w:rFonts w:ascii="Arial" w:hAnsi="Arial" w:cs="Arial"/>
          <w:spacing w:val="-4"/>
          <w:sz w:val="24"/>
          <w:szCs w:val="24"/>
        </w:rPr>
        <w:t>wykaz świadczeń w poszczególnych zakresach świadczeń o JGP: C32, C43, C44, P19, S07 (</w:t>
      </w:r>
      <w:r w:rsidR="00E07185" w:rsidRPr="00585123">
        <w:rPr>
          <w:rFonts w:ascii="Arial" w:hAnsi="Arial" w:cs="Arial"/>
          <w:spacing w:val="-4"/>
          <w:sz w:val="24"/>
          <w:szCs w:val="24"/>
        </w:rPr>
        <w:t>w ramach których realizowane było dotychczas leczenie z rozpoznaniem: D11.0, D14.0, D75.2)</w:t>
      </w:r>
      <w:r w:rsidR="00E1442A" w:rsidRPr="00585123">
        <w:rPr>
          <w:rFonts w:ascii="Arial" w:hAnsi="Arial" w:cs="Arial"/>
          <w:spacing w:val="-4"/>
          <w:sz w:val="24"/>
          <w:szCs w:val="24"/>
        </w:rPr>
        <w:t xml:space="preserve"> i o </w:t>
      </w:r>
      <w:r w:rsidR="00331A16" w:rsidRPr="00585123">
        <w:rPr>
          <w:rFonts w:ascii="Arial" w:hAnsi="Arial" w:cs="Arial"/>
          <w:spacing w:val="-4"/>
          <w:sz w:val="24"/>
          <w:szCs w:val="24"/>
        </w:rPr>
        <w:t>istotne</w:t>
      </w:r>
      <w:r w:rsidR="006F0836" w:rsidRPr="00585123">
        <w:rPr>
          <w:rFonts w:ascii="Arial" w:hAnsi="Arial" w:cs="Arial"/>
          <w:spacing w:val="-4"/>
          <w:sz w:val="24"/>
          <w:szCs w:val="24"/>
        </w:rPr>
        <w:t xml:space="preserve"> procedur</w:t>
      </w:r>
      <w:r w:rsidR="00331A16" w:rsidRPr="00585123">
        <w:rPr>
          <w:rFonts w:ascii="Arial" w:hAnsi="Arial" w:cs="Arial"/>
          <w:spacing w:val="-4"/>
          <w:sz w:val="24"/>
          <w:szCs w:val="24"/>
        </w:rPr>
        <w:t>y</w:t>
      </w:r>
      <w:r w:rsidR="006F0836" w:rsidRPr="00585123">
        <w:rPr>
          <w:rFonts w:ascii="Arial" w:hAnsi="Arial" w:cs="Arial"/>
          <w:spacing w:val="-4"/>
          <w:sz w:val="24"/>
          <w:szCs w:val="24"/>
        </w:rPr>
        <w:t xml:space="preserve"> sp</w:t>
      </w:r>
      <w:r w:rsidR="00331A16" w:rsidRPr="00585123">
        <w:rPr>
          <w:rFonts w:ascii="Arial" w:hAnsi="Arial" w:cs="Arial"/>
          <w:spacing w:val="-4"/>
          <w:sz w:val="24"/>
          <w:szCs w:val="24"/>
        </w:rPr>
        <w:t>rawozdawane</w:t>
      </w:r>
      <w:r w:rsidR="006F0836" w:rsidRPr="00585123">
        <w:rPr>
          <w:rFonts w:ascii="Arial" w:hAnsi="Arial" w:cs="Arial"/>
          <w:spacing w:val="-4"/>
          <w:sz w:val="24"/>
          <w:szCs w:val="24"/>
        </w:rPr>
        <w:t xml:space="preserve"> w ramach pakietów onkologicznego</w:t>
      </w:r>
      <w:r w:rsidR="00331A16" w:rsidRPr="00585123">
        <w:rPr>
          <w:rFonts w:ascii="Arial" w:hAnsi="Arial" w:cs="Arial"/>
          <w:spacing w:val="-4"/>
          <w:sz w:val="24"/>
          <w:szCs w:val="24"/>
        </w:rPr>
        <w:t>;</w:t>
      </w:r>
    </w:p>
    <w:p w:rsidR="009C05FA" w:rsidRPr="00585123" w:rsidRDefault="007A76DC" w:rsidP="00C6103C">
      <w:pPr>
        <w:pStyle w:val="Akapitzlist"/>
        <w:numPr>
          <w:ilvl w:val="0"/>
          <w:numId w:val="27"/>
        </w:numPr>
        <w:tabs>
          <w:tab w:val="left" w:pos="851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 </w:t>
      </w:r>
      <w:r w:rsidR="002A19B6" w:rsidRPr="00585123">
        <w:rPr>
          <w:rFonts w:ascii="Arial" w:hAnsi="Arial" w:cs="Arial"/>
          <w:spacing w:val="-4"/>
          <w:sz w:val="24"/>
          <w:szCs w:val="24"/>
        </w:rPr>
        <w:t>katalogu produktów do sumowania,</w:t>
      </w:r>
      <w:r w:rsidR="00BD338A" w:rsidRPr="00585123">
        <w:rPr>
          <w:rFonts w:ascii="Arial" w:hAnsi="Arial" w:cs="Arial"/>
          <w:spacing w:val="-4"/>
          <w:sz w:val="24"/>
          <w:szCs w:val="24"/>
        </w:rPr>
        <w:t xml:space="preserve"> </w:t>
      </w:r>
      <w:r w:rsidR="00734DB9" w:rsidRPr="00585123">
        <w:rPr>
          <w:rFonts w:ascii="Arial" w:hAnsi="Arial" w:cs="Arial"/>
          <w:spacing w:val="-4"/>
          <w:sz w:val="24"/>
          <w:szCs w:val="24"/>
        </w:rPr>
        <w:t xml:space="preserve">wprowadzono </w:t>
      </w:r>
      <w:r w:rsidR="00734DB9" w:rsidRPr="00585123">
        <w:rPr>
          <w:rFonts w:ascii="Arial" w:hAnsi="Arial" w:cs="Arial"/>
          <w:spacing w:val="-6"/>
          <w:sz w:val="24"/>
          <w:szCs w:val="24"/>
        </w:rPr>
        <w:t>produkt rozliczeniowy</w:t>
      </w:r>
      <w:r w:rsidR="00734DB9" w:rsidRPr="00585123">
        <w:rPr>
          <w:rFonts w:ascii="Arial" w:hAnsi="Arial" w:cs="Arial"/>
          <w:bCs/>
          <w:spacing w:val="-6"/>
          <w:sz w:val="24"/>
          <w:szCs w:val="24"/>
        </w:rPr>
        <w:t xml:space="preserve"> dedykowany</w:t>
      </w:r>
      <w:r w:rsidR="00BD338A" w:rsidRPr="00585123">
        <w:rPr>
          <w:rFonts w:ascii="Arial" w:hAnsi="Arial" w:cs="Arial"/>
          <w:bCs/>
          <w:spacing w:val="-6"/>
          <w:sz w:val="24"/>
          <w:szCs w:val="24"/>
        </w:rPr>
        <w:t xml:space="preserve"> do </w:t>
      </w:r>
      <w:r w:rsidR="00CF47A0" w:rsidRPr="00585123">
        <w:rPr>
          <w:rFonts w:ascii="Arial" w:hAnsi="Arial" w:cs="Arial"/>
          <w:bCs/>
          <w:spacing w:val="-6"/>
          <w:sz w:val="24"/>
          <w:szCs w:val="24"/>
        </w:rPr>
        <w:t>rozliczania</w:t>
      </w:r>
      <w:r w:rsidR="00CF47A0" w:rsidRPr="00585123">
        <w:t xml:space="preserve"> </w:t>
      </w:r>
      <w:r w:rsidR="00CF47A0" w:rsidRPr="00585123">
        <w:rPr>
          <w:rFonts w:ascii="Arial" w:hAnsi="Arial" w:cs="Arial"/>
          <w:bCs/>
          <w:spacing w:val="-6"/>
          <w:sz w:val="24"/>
          <w:szCs w:val="24"/>
        </w:rPr>
        <w:t>opieki psychologicznej udzielanej kobiecie w sytuacji niepowodzenia położniczego (dokonane poronienie</w:t>
      </w:r>
      <w:r w:rsidR="00564AEB" w:rsidRPr="00585123">
        <w:rPr>
          <w:rFonts w:ascii="Arial" w:hAnsi="Arial" w:cs="Arial"/>
          <w:bCs/>
          <w:spacing w:val="-6"/>
          <w:sz w:val="24"/>
          <w:szCs w:val="24"/>
        </w:rPr>
        <w:t xml:space="preserve">, zakończenie ciąży obumarłej) </w:t>
      </w:r>
      <w:r w:rsidR="00827790" w:rsidRPr="00585123">
        <w:rPr>
          <w:rFonts w:ascii="Arial" w:hAnsi="Arial" w:cs="Arial"/>
          <w:bCs/>
          <w:spacing w:val="-6"/>
          <w:sz w:val="24"/>
          <w:szCs w:val="24"/>
        </w:rPr>
        <w:t xml:space="preserve">podczas jej </w:t>
      </w:r>
      <w:r w:rsidR="001F43EB" w:rsidRPr="00585123">
        <w:rPr>
          <w:rFonts w:ascii="Arial" w:hAnsi="Arial" w:cs="Arial"/>
          <w:bCs/>
          <w:spacing w:val="-6"/>
          <w:sz w:val="24"/>
          <w:szCs w:val="24"/>
        </w:rPr>
        <w:t>pobytu w </w:t>
      </w:r>
      <w:r w:rsidR="00CF47A0" w:rsidRPr="00585123">
        <w:rPr>
          <w:rFonts w:ascii="Arial" w:hAnsi="Arial" w:cs="Arial"/>
          <w:bCs/>
          <w:spacing w:val="-6"/>
          <w:sz w:val="24"/>
          <w:szCs w:val="24"/>
        </w:rPr>
        <w:t>oddziale szpitalnym.</w:t>
      </w:r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 Umożliwiono także rozliczanie w</w:t>
      </w:r>
      <w:r w:rsidR="000E0F7C" w:rsidRPr="00585123">
        <w:rPr>
          <w:rFonts w:ascii="Arial" w:hAnsi="Arial" w:cs="Arial"/>
          <w:bCs/>
          <w:spacing w:val="-6"/>
          <w:sz w:val="24"/>
          <w:szCs w:val="24"/>
        </w:rPr>
        <w:t xml:space="preserve">yrobów medycznych stosowanych w </w:t>
      </w:r>
      <w:r w:rsidR="008104EB" w:rsidRPr="00585123">
        <w:rPr>
          <w:rFonts w:ascii="Arial" w:hAnsi="Arial" w:cs="Arial"/>
          <w:bCs/>
          <w:spacing w:val="-6"/>
          <w:sz w:val="24"/>
          <w:szCs w:val="24"/>
        </w:rPr>
        <w:t>leczeniu pęch</w:t>
      </w:r>
      <w:r w:rsidR="000E0F7C" w:rsidRPr="00585123">
        <w:rPr>
          <w:rFonts w:ascii="Arial" w:hAnsi="Arial" w:cs="Arial"/>
          <w:bCs/>
          <w:spacing w:val="-6"/>
          <w:sz w:val="24"/>
          <w:szCs w:val="24"/>
        </w:rPr>
        <w:t>erzowego oddzielania naskórka z </w:t>
      </w:r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rozpoznaniem Q81.0 - Q81.8 (dotyczy </w:t>
      </w:r>
      <w:proofErr w:type="spellStart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>Peha</w:t>
      </w:r>
      <w:proofErr w:type="spellEnd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-haft opaska elastyczna kohezyjna, </w:t>
      </w:r>
      <w:proofErr w:type="spellStart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>Nobahaft-crepp</w:t>
      </w:r>
      <w:proofErr w:type="spellEnd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, </w:t>
      </w:r>
      <w:proofErr w:type="spellStart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>Mepilex</w:t>
      </w:r>
      <w:proofErr w:type="spellEnd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 Transfer, </w:t>
      </w:r>
      <w:proofErr w:type="spellStart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>Mepilex</w:t>
      </w:r>
      <w:proofErr w:type="spellEnd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 EM, </w:t>
      </w:r>
      <w:proofErr w:type="spellStart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>Niltac</w:t>
      </w:r>
      <w:proofErr w:type="spellEnd"/>
      <w:r w:rsidR="008104EB" w:rsidRPr="00585123">
        <w:rPr>
          <w:rFonts w:ascii="Arial" w:hAnsi="Arial" w:cs="Arial"/>
          <w:bCs/>
          <w:spacing w:val="-6"/>
          <w:sz w:val="24"/>
          <w:szCs w:val="24"/>
        </w:rPr>
        <w:t xml:space="preserve"> silikon do usuwania przylepca) na</w:t>
      </w:r>
      <w:r w:rsidR="003770F4" w:rsidRPr="00585123">
        <w:rPr>
          <w:rFonts w:ascii="Arial" w:hAnsi="Arial" w:cs="Arial"/>
          <w:bCs/>
          <w:spacing w:val="-6"/>
          <w:sz w:val="24"/>
          <w:szCs w:val="24"/>
        </w:rPr>
        <w:t xml:space="preserve"> podstawie faktury</w:t>
      </w:r>
      <w:r w:rsidR="000E0F7C" w:rsidRPr="00585123">
        <w:rPr>
          <w:rFonts w:ascii="Arial" w:hAnsi="Arial" w:cs="Arial"/>
          <w:bCs/>
          <w:spacing w:val="-6"/>
          <w:sz w:val="24"/>
          <w:szCs w:val="24"/>
        </w:rPr>
        <w:t>;</w:t>
      </w:r>
    </w:p>
    <w:p w:rsidR="00BD338A" w:rsidRPr="00585123" w:rsidRDefault="00BD338A" w:rsidP="00C6103C">
      <w:pPr>
        <w:pStyle w:val="Akapitzlist"/>
        <w:numPr>
          <w:ilvl w:val="0"/>
          <w:numId w:val="2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585123">
        <w:rPr>
          <w:rFonts w:ascii="Arial" w:hAnsi="Arial" w:cs="Arial"/>
          <w:spacing w:val="-4"/>
          <w:sz w:val="24"/>
          <w:szCs w:val="24"/>
        </w:rPr>
        <w:t xml:space="preserve">w katalogu produktów odrębnych, </w:t>
      </w:r>
      <w:r w:rsidR="006928C2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w oparciu </w:t>
      </w:r>
      <w:r w:rsidR="00C73B8B" w:rsidRPr="00585123">
        <w:rPr>
          <w:rFonts w:ascii="Arial" w:eastAsia="Times New Roman" w:hAnsi="Arial" w:cs="Arial"/>
          <w:spacing w:val="-6"/>
          <w:sz w:val="24"/>
          <w:szCs w:val="24"/>
        </w:rPr>
        <w:t>o opinię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konsultanta krajowego w 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>dziedzinie neurologii</w:t>
      </w:r>
      <w:r w:rsidR="003C4DD6" w:rsidRPr="00585123">
        <w:t xml:space="preserve">, </w:t>
      </w:r>
      <w:r w:rsidR="00B91A36" w:rsidRPr="00585123">
        <w:rPr>
          <w:rFonts w:ascii="Arial" w:eastAsia="Times New Roman" w:hAnsi="Arial" w:cs="Arial"/>
          <w:spacing w:val="-6"/>
          <w:sz w:val="24"/>
          <w:szCs w:val="24"/>
        </w:rPr>
        <w:t>zmodyfikowano warunki roz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liczania padaczki lekoopornej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w 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>części dotyczącej badania EEG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-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w przypadku dzieci uznano</w:t>
      </w:r>
      <w:r w:rsidR="00B91A3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>za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>wystarczający</w:t>
      </w:r>
      <w:r w:rsidR="00B91A3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zapis typu </w:t>
      </w:r>
      <w:proofErr w:type="spellStart"/>
      <w:r w:rsidR="00B91A36" w:rsidRPr="00585123">
        <w:rPr>
          <w:rFonts w:ascii="Arial" w:eastAsia="Times New Roman" w:hAnsi="Arial" w:cs="Arial"/>
          <w:spacing w:val="-6"/>
          <w:sz w:val="24"/>
          <w:szCs w:val="24"/>
        </w:rPr>
        <w:t>hipsarytmia</w:t>
      </w:r>
      <w:proofErr w:type="spellEnd"/>
      <w:r w:rsidR="00B91A3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lub SBA 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>i ciągłych wyładowań napadowych.</w:t>
      </w:r>
      <w:r w:rsidR="006928C2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</w:p>
    <w:p w:rsidR="006928C2" w:rsidRPr="00585123" w:rsidRDefault="00BD338A" w:rsidP="00BD338A">
      <w:pPr>
        <w:pStyle w:val="Akapitzlist"/>
        <w:tabs>
          <w:tab w:val="left" w:pos="567"/>
        </w:tabs>
        <w:spacing w:after="0" w:line="360" w:lineRule="auto"/>
        <w:ind w:left="567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>Ponadto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,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CB701D" w:rsidRPr="00585123">
        <w:rPr>
          <w:rFonts w:ascii="Arial" w:eastAsia="Times New Roman" w:hAnsi="Arial" w:cs="Arial"/>
          <w:spacing w:val="-6"/>
          <w:sz w:val="24"/>
          <w:szCs w:val="24"/>
        </w:rPr>
        <w:t>w</w:t>
      </w:r>
      <w:r w:rsidR="006928C2" w:rsidRPr="00585123">
        <w:rPr>
          <w:rFonts w:ascii="Arial" w:eastAsia="Times New Roman" w:hAnsi="Arial" w:cs="Arial"/>
          <w:spacing w:val="-6"/>
          <w:sz w:val="24"/>
          <w:szCs w:val="24"/>
        </w:rPr>
        <w:t>prowadzo</w:t>
      </w:r>
      <w:r w:rsidR="00564AEB" w:rsidRPr="00585123">
        <w:rPr>
          <w:rFonts w:ascii="Arial" w:eastAsia="Times New Roman" w:hAnsi="Arial" w:cs="Arial"/>
          <w:spacing w:val="-6"/>
          <w:sz w:val="24"/>
          <w:szCs w:val="24"/>
        </w:rPr>
        <w:t>no możliwości rozliczania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564AEB" w:rsidRPr="00585123">
        <w:rPr>
          <w:rFonts w:ascii="Arial" w:eastAsia="Times New Roman" w:hAnsi="Arial" w:cs="Arial"/>
          <w:spacing w:val="-6"/>
          <w:sz w:val="24"/>
          <w:szCs w:val="24"/>
        </w:rPr>
        <w:t>l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eczenia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powikłań infekcyjnych i </w:t>
      </w:r>
      <w:r w:rsidR="00564AEB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nieinfekcyjnych, 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>ostrego lub przewlekłego odrzuca</w:t>
      </w:r>
      <w:r w:rsidR="00564AEB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nia przeszczepu lub przewlekłej choroby przeszczep przeciw gospodarzowi u chorego po przeszczepieniu narządu </w:t>
      </w:r>
      <w:r w:rsidR="00564AEB" w:rsidRPr="00585123">
        <w:rPr>
          <w:rFonts w:ascii="Arial" w:eastAsia="Times New Roman" w:hAnsi="Arial" w:cs="Arial"/>
          <w:spacing w:val="-6"/>
          <w:sz w:val="24"/>
          <w:szCs w:val="24"/>
        </w:rPr>
        <w:lastRenderedPageBreak/>
        <w:t>od 31 dnia po w</w:t>
      </w:r>
      <w:r w:rsidR="006928C2" w:rsidRPr="00585123">
        <w:rPr>
          <w:rFonts w:ascii="Arial" w:eastAsia="Times New Roman" w:hAnsi="Arial" w:cs="Arial"/>
          <w:spacing w:val="-6"/>
          <w:sz w:val="24"/>
          <w:szCs w:val="24"/>
        </w:rPr>
        <w:t>ykonaniu przeszczepu odrzucenia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i hospitalizacji związanej z </w:t>
      </w:r>
      <w:proofErr w:type="spellStart"/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>graftektomią</w:t>
      </w:r>
      <w:proofErr w:type="spellEnd"/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w zakresie chirurgii klatki piersiowej oraz chorób płuc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, 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jak również </w:t>
      </w:r>
      <w:r w:rsidR="000D7F77" w:rsidRPr="00585123">
        <w:rPr>
          <w:rFonts w:ascii="Arial" w:eastAsia="Times New Roman" w:hAnsi="Arial" w:cs="Arial"/>
          <w:spacing w:val="-6"/>
          <w:sz w:val="24"/>
          <w:szCs w:val="24"/>
        </w:rPr>
        <w:t>możliwość rozliczania</w:t>
      </w:r>
      <w:r w:rsidR="000D7F77" w:rsidRPr="00585123">
        <w:rPr>
          <w:rFonts w:ascii="Arial" w:eastAsia="Times New Roman" w:hAnsi="Arial" w:cs="Arial"/>
          <w:i/>
          <w:spacing w:val="-6"/>
          <w:sz w:val="24"/>
          <w:szCs w:val="24"/>
        </w:rPr>
        <w:t xml:space="preserve"> 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świadczeń onkologicznych z </w:t>
      </w:r>
      <w:r w:rsidR="006928C2" w:rsidRPr="00585123">
        <w:rPr>
          <w:rFonts w:ascii="Arial" w:eastAsia="Times New Roman" w:hAnsi="Arial" w:cs="Arial"/>
          <w:spacing w:val="-6"/>
          <w:sz w:val="24"/>
          <w:szCs w:val="24"/>
        </w:rPr>
        <w:t>grup: F03, G26E, G26F, G33, G34, G35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w zakresie onkologii klinicznej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;</w:t>
      </w:r>
    </w:p>
    <w:p w:rsidR="003248FF" w:rsidRPr="00585123" w:rsidRDefault="00BD338A" w:rsidP="00C6103C">
      <w:pPr>
        <w:pStyle w:val="Akapitzlist"/>
        <w:numPr>
          <w:ilvl w:val="0"/>
          <w:numId w:val="2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>w</w:t>
      </w:r>
      <w:r w:rsidR="009C05FA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załączniku dotyczącym oceny stanu pacjenta według skali TIS</w:t>
      </w:r>
      <w:r w:rsidR="0091179E" w:rsidRPr="00585123">
        <w:rPr>
          <w:rFonts w:ascii="Arial" w:eastAsia="Times New Roman" w:hAnsi="Arial" w:cs="Arial"/>
          <w:spacing w:val="-6"/>
          <w:sz w:val="24"/>
          <w:szCs w:val="24"/>
        </w:rPr>
        <w:t>S-28,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9C05FA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dokonano modyfikacji </w:t>
      </w:r>
      <w:r w:rsidR="001F43EB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mających charakter porządkowy i </w:t>
      </w:r>
      <w:r w:rsidR="009C05FA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dookreślający składowe podlegające ocenie w przedmiotowej skali. 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>Z</w:t>
      </w:r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>miany w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ynikają przede wszystkim z </w:t>
      </w:r>
      <w:r w:rsidR="009C05FA" w:rsidRPr="00585123">
        <w:rPr>
          <w:rFonts w:ascii="Arial" w:eastAsia="Times New Roman" w:hAnsi="Arial" w:cs="Arial"/>
          <w:spacing w:val="-6"/>
          <w:sz w:val="24"/>
          <w:szCs w:val="24"/>
        </w:rPr>
        <w:t>aktualnej wiedz</w:t>
      </w:r>
      <w:r w:rsidR="001F43EB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y w dziedzinie anestezjologii i intensywnej terapii, w tym z </w:t>
      </w:r>
      <w:r w:rsidR="009C05FA" w:rsidRPr="00585123">
        <w:rPr>
          <w:rFonts w:ascii="Arial" w:eastAsia="Times New Roman" w:hAnsi="Arial" w:cs="Arial"/>
          <w:spacing w:val="-6"/>
          <w:sz w:val="24"/>
          <w:szCs w:val="24"/>
        </w:rPr>
        <w:t>obecnie stosowanych technik/metod leczenia. Ponadto</w:t>
      </w:r>
      <w:r w:rsidR="006A66D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, 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w punktach </w:t>
      </w:r>
      <w:r w:rsidR="009C05FA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dotyczącym innych interwencji uwzględniono </w:t>
      </w:r>
      <w:r w:rsidR="006A66D3" w:rsidRPr="00585123">
        <w:rPr>
          <w:rFonts w:ascii="Arial" w:eastAsia="Times New Roman" w:hAnsi="Arial" w:cs="Arial"/>
          <w:spacing w:val="-6"/>
          <w:sz w:val="24"/>
          <w:szCs w:val="24"/>
        </w:rPr>
        <w:t>procedurę związaną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1F43EB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z udzielaniem kosztochłonnego </w:t>
      </w:r>
      <w:r w:rsidR="006A66D3" w:rsidRPr="00585123">
        <w:rPr>
          <w:rFonts w:ascii="Arial" w:eastAsia="Times New Roman" w:hAnsi="Arial" w:cs="Arial"/>
          <w:spacing w:val="-6"/>
          <w:sz w:val="24"/>
          <w:szCs w:val="24"/>
        </w:rPr>
        <w:t>świadczenia hipotermii leczniczej, jako istotnego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6A66D3" w:rsidRPr="00585123">
        <w:rPr>
          <w:rFonts w:ascii="Arial" w:eastAsia="Times New Roman" w:hAnsi="Arial" w:cs="Arial"/>
          <w:spacing w:val="-6"/>
          <w:sz w:val="24"/>
          <w:szCs w:val="24"/>
        </w:rPr>
        <w:t>do wykazania.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W oparciu o </w:t>
      </w:r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>opinię Konsultanta Krajow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>ego w dziedzinie anest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ezjologii i intensywnej terapii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>d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ookreślono 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składowe leków </w:t>
      </w:r>
      <w:proofErr w:type="spellStart"/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>wazoaktywnych</w:t>
      </w:r>
      <w:proofErr w:type="spellEnd"/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>oraz zmodyfikowano zapis związany z monitoro</w:t>
      </w:r>
      <w:r w:rsidR="006F0836" w:rsidRPr="00585123">
        <w:rPr>
          <w:rFonts w:ascii="Arial" w:eastAsia="Times New Roman" w:hAnsi="Arial" w:cs="Arial"/>
          <w:spacing w:val="-6"/>
          <w:sz w:val="24"/>
          <w:szCs w:val="24"/>
        </w:rPr>
        <w:t>waniem i 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oceną układu krążenia. </w:t>
      </w:r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W rozdziale dotyczącym innych interwencji w </w:t>
      </w:r>
      <w:proofErr w:type="spellStart"/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>OAi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I</w:t>
      </w:r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>T</w:t>
      </w:r>
      <w:proofErr w:type="spellEnd"/>
      <w:r w:rsidR="003248FF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="00624D2F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rozszerzono katalog o kalorymetrię pośrednią, która jest wykorzystywana przy obliczaniu </w:t>
      </w:r>
      <w:r w:rsidR="00C253B3" w:rsidRPr="00585123">
        <w:rPr>
          <w:rFonts w:ascii="Arial" w:eastAsia="Times New Roman" w:hAnsi="Arial" w:cs="Arial"/>
          <w:spacing w:val="-6"/>
          <w:sz w:val="24"/>
          <w:szCs w:val="24"/>
        </w:rPr>
        <w:t>za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potrzebowania energetycznego;</w:t>
      </w:r>
    </w:p>
    <w:p w:rsidR="00C253B3" w:rsidRPr="00585123" w:rsidRDefault="00C253B3" w:rsidP="00C6103C">
      <w:pPr>
        <w:pStyle w:val="Akapitzlist"/>
        <w:numPr>
          <w:ilvl w:val="0"/>
          <w:numId w:val="2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>z</w:t>
      </w:r>
      <w:r w:rsidR="006F083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modyfikowano treść załącznika dotyczącego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oceny problemów zdrowotnych pacjenta geriatrycznego według skali VES-13, zgodnie z stanowiskiem Ministra Zdrowia i Polskiego Towarzystwa Gerontologicznego. Zmiany w tym zakresie mają na celu posługiwanie się oryginalną wersją skali V</w:t>
      </w:r>
      <w:r w:rsidR="00D34876">
        <w:rPr>
          <w:rFonts w:ascii="Arial" w:eastAsia="Times New Roman" w:hAnsi="Arial" w:cs="Arial"/>
          <w:spacing w:val="-6"/>
          <w:sz w:val="24"/>
          <w:szCs w:val="24"/>
        </w:rPr>
        <w:t xml:space="preserve">ES-13 </w:t>
      </w:r>
      <w:r w:rsidR="006F0836" w:rsidRPr="00585123">
        <w:rPr>
          <w:rFonts w:ascii="Arial" w:eastAsia="Times New Roman" w:hAnsi="Arial" w:cs="Arial"/>
          <w:spacing w:val="-6"/>
          <w:sz w:val="24"/>
          <w:szCs w:val="24"/>
        </w:rPr>
        <w:t>zalecaną do stosowania w 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opublikowanych Standardach postępowania 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w opiece geriatrycznej z 2013 r.;</w:t>
      </w:r>
    </w:p>
    <w:p w:rsidR="002E264D" w:rsidRPr="00585123" w:rsidRDefault="002E264D" w:rsidP="00C6103C">
      <w:pPr>
        <w:pStyle w:val="Akapitzlist"/>
        <w:numPr>
          <w:ilvl w:val="0"/>
          <w:numId w:val="2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>uzupełniono wykaz badań genetycznych w chorobach nowotworowych o rozpoznania według ICD10: C92.2, C93;</w:t>
      </w:r>
    </w:p>
    <w:p w:rsidR="006B7151" w:rsidRPr="00585123" w:rsidRDefault="006F0836" w:rsidP="00C6103C">
      <w:pPr>
        <w:pStyle w:val="Akapitzlist"/>
        <w:numPr>
          <w:ilvl w:val="0"/>
          <w:numId w:val="27"/>
        </w:numPr>
        <w:tabs>
          <w:tab w:val="left" w:pos="567"/>
        </w:tabs>
        <w:spacing w:after="0" w:line="360" w:lineRule="auto"/>
        <w:ind w:left="567" w:hanging="425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>w charakterystyce JGP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,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w</w:t>
      </w:r>
      <w:r w:rsidR="006B7151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celu wyeliminowania wątpliwo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ści interpretacyjnych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>,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dokonano 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zmian 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</w:rPr>
        <w:t>polegają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cych </w:t>
      </w:r>
      <w:r w:rsidR="006B7151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m.in. na:</w:t>
      </w:r>
    </w:p>
    <w:p w:rsidR="004735A6" w:rsidRPr="00585123" w:rsidRDefault="00DF2B70" w:rsidP="00114251">
      <w:pPr>
        <w:pStyle w:val="Akapitzlist"/>
        <w:numPr>
          <w:ilvl w:val="0"/>
          <w:numId w:val="26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>dostosowaniu</w:t>
      </w:r>
      <w:r w:rsidR="004735A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kodów </w:t>
      </w:r>
      <w:r w:rsidR="004735A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procedur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medycznych wg ICD-9 w grupie E50</w:t>
      </w:r>
      <w:r w:rsidR="002A19B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-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zgodnie z</w:t>
      </w:r>
      <w:r w:rsidR="002A19B6" w:rsidRPr="00585123">
        <w:rPr>
          <w:rFonts w:ascii="Arial" w:eastAsia="Times New Roman" w:hAnsi="Arial" w:cs="Arial"/>
          <w:spacing w:val="-6"/>
          <w:sz w:val="24"/>
          <w:szCs w:val="24"/>
        </w:rPr>
        <w:t>e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  </w:t>
      </w:r>
      <w:r w:rsidR="002A19B6" w:rsidRPr="00585123">
        <w:rPr>
          <w:rFonts w:ascii="Arial" w:eastAsia="Times New Roman" w:hAnsi="Arial" w:cs="Arial"/>
          <w:spacing w:val="-6"/>
          <w:sz w:val="24"/>
          <w:szCs w:val="24"/>
        </w:rPr>
        <w:t>słownikiem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ICD-9</w:t>
      </w:r>
      <w:r w:rsidR="002A19B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opublikowanym w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wersj</w:t>
      </w:r>
      <w:r w:rsidR="002A19B6" w:rsidRPr="00585123">
        <w:rPr>
          <w:rFonts w:ascii="Arial" w:eastAsia="Times New Roman" w:hAnsi="Arial" w:cs="Arial"/>
          <w:spacing w:val="-6"/>
          <w:sz w:val="24"/>
          <w:szCs w:val="24"/>
        </w:rPr>
        <w:t>i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5.34,</w:t>
      </w:r>
    </w:p>
    <w:p w:rsidR="002A19B6" w:rsidRPr="00585123" w:rsidRDefault="002A19B6" w:rsidP="00114251">
      <w:pPr>
        <w:pStyle w:val="Akapitzlist"/>
        <w:numPr>
          <w:ilvl w:val="0"/>
          <w:numId w:val="26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wprowadzeniu do grupy E89 </w:t>
      </w:r>
      <w:r w:rsidR="00827790" w:rsidRPr="00585123">
        <w:rPr>
          <w:rFonts w:ascii="Arial" w:eastAsia="Times New Roman" w:hAnsi="Arial" w:cs="Arial"/>
          <w:spacing w:val="-6"/>
          <w:sz w:val="24"/>
          <w:szCs w:val="24"/>
        </w:rPr>
        <w:t>warunku dotyczącego czasu h</w:t>
      </w:r>
      <w:r w:rsidR="00114251" w:rsidRPr="00585123">
        <w:rPr>
          <w:rFonts w:ascii="Arial" w:eastAsia="Times New Roman" w:hAnsi="Arial" w:cs="Arial"/>
          <w:spacing w:val="-6"/>
          <w:sz w:val="24"/>
          <w:szCs w:val="24"/>
        </w:rPr>
        <w:t>ospitalizacji poniżej dwóch dni,</w:t>
      </w:r>
    </w:p>
    <w:p w:rsidR="00392D1E" w:rsidRPr="00585123" w:rsidRDefault="00392D1E" w:rsidP="00114251">
      <w:pPr>
        <w:pStyle w:val="Akapitzlist"/>
        <w:numPr>
          <w:ilvl w:val="0"/>
          <w:numId w:val="26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hAnsi="Arial" w:cs="Arial"/>
          <w:spacing w:val="-6"/>
          <w:sz w:val="24"/>
          <w:szCs w:val="24"/>
        </w:rPr>
        <w:t xml:space="preserve">przesunięciu procedury </w:t>
      </w:r>
      <w:r w:rsidRPr="00585123">
        <w:rPr>
          <w:rFonts w:ascii="Arial" w:hAnsi="Arial" w:cs="Arial"/>
          <w:i/>
          <w:spacing w:val="-6"/>
          <w:sz w:val="24"/>
          <w:szCs w:val="24"/>
        </w:rPr>
        <w:t xml:space="preserve">85.313 Obustronna zmniejszająca </w:t>
      </w:r>
      <w:proofErr w:type="spellStart"/>
      <w:r w:rsidRPr="00585123">
        <w:rPr>
          <w:rFonts w:ascii="Arial" w:hAnsi="Arial" w:cs="Arial"/>
          <w:i/>
          <w:spacing w:val="-6"/>
          <w:sz w:val="24"/>
          <w:szCs w:val="24"/>
        </w:rPr>
        <w:t>mammoplastyka</w:t>
      </w:r>
      <w:proofErr w:type="spellEnd"/>
      <w:r w:rsidRPr="00585123">
        <w:rPr>
          <w:rFonts w:ascii="Arial" w:hAnsi="Arial" w:cs="Arial"/>
          <w:spacing w:val="-6"/>
          <w:sz w:val="24"/>
          <w:szCs w:val="24"/>
        </w:rPr>
        <w:t xml:space="preserve">, realizowanej w grupie J05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Średnia chirurgia piersi do grupy </w:t>
      </w:r>
      <w:r w:rsidR="006F0836" w:rsidRPr="00585123">
        <w:rPr>
          <w:rFonts w:ascii="Arial" w:eastAsia="Times New Roman" w:hAnsi="Arial" w:cs="Arial"/>
          <w:spacing w:val="-6"/>
          <w:sz w:val="24"/>
          <w:szCs w:val="24"/>
        </w:rPr>
        <w:t>J03 Duże zabiegi w 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obrębie piersi - w ocenie ekspertów procedura ta w znaczący sposób odstaje, pod względem kosztowym od pozostałych procedur rozliczanych w tej grupie, jednocześnie jest zgodna z profilem zabiegów realizowanych w grupie J03</w:t>
      </w:r>
      <w:r w:rsidR="006F0836" w:rsidRPr="00585123">
        <w:rPr>
          <w:rFonts w:ascii="Arial" w:eastAsia="Times New Roman" w:hAnsi="Arial" w:cs="Arial"/>
          <w:spacing w:val="-6"/>
          <w:sz w:val="24"/>
          <w:szCs w:val="24"/>
        </w:rPr>
        <w:t>,</w:t>
      </w:r>
    </w:p>
    <w:p w:rsidR="00114251" w:rsidRPr="00585123" w:rsidRDefault="00114251" w:rsidP="00114251">
      <w:pPr>
        <w:pStyle w:val="Akapitzlist"/>
        <w:numPr>
          <w:ilvl w:val="0"/>
          <w:numId w:val="26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wprowadzeniu </w:t>
      </w:r>
      <w:r w:rsidR="000E0F7C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do grupy H01 i H11 rozpoznania 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T84.0,</w:t>
      </w:r>
    </w:p>
    <w:p w:rsidR="006F0836" w:rsidRPr="00585123" w:rsidRDefault="00114251" w:rsidP="00114251">
      <w:pPr>
        <w:pStyle w:val="Akapitzlist"/>
        <w:numPr>
          <w:ilvl w:val="0"/>
          <w:numId w:val="26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lastRenderedPageBreak/>
        <w:t xml:space="preserve">usunięciu z grupy H14 rozpoznań od M17.0 do M17.5, </w:t>
      </w:r>
    </w:p>
    <w:p w:rsidR="008104EB" w:rsidRPr="00585123" w:rsidRDefault="00114251" w:rsidP="00114251">
      <w:pPr>
        <w:pStyle w:val="Akapitzlist"/>
        <w:numPr>
          <w:ilvl w:val="0"/>
          <w:numId w:val="26"/>
        </w:numPr>
        <w:spacing w:after="120" w:line="360" w:lineRule="auto"/>
        <w:ind w:left="851" w:hanging="284"/>
        <w:contextualSpacing w:val="0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usunięciu z grupy </w:t>
      </w:r>
      <w:r w:rsidR="008104EB" w:rsidRPr="00585123">
        <w:rPr>
          <w:rFonts w:ascii="Arial" w:eastAsia="Times New Roman" w:hAnsi="Arial" w:cs="Arial"/>
          <w:spacing w:val="-6"/>
          <w:sz w:val="24"/>
          <w:szCs w:val="24"/>
        </w:rPr>
        <w:t>H15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rozpoznań</w:t>
      </w:r>
      <w:r w:rsidR="008104EB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od M16.0 do M16.7</w:t>
      </w:r>
      <w:r w:rsidRPr="00585123">
        <w:rPr>
          <w:rFonts w:ascii="Arial" w:eastAsia="Times New Roman" w:hAnsi="Arial" w:cs="Arial"/>
          <w:spacing w:val="-6"/>
          <w:sz w:val="24"/>
          <w:szCs w:val="24"/>
        </w:rPr>
        <w:t>.</w:t>
      </w:r>
    </w:p>
    <w:p w:rsidR="00FF1A15" w:rsidRPr="00585123" w:rsidRDefault="000955C5" w:rsidP="00FF1A15">
      <w:pPr>
        <w:pStyle w:val="Akapitzlist"/>
        <w:spacing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Dodatkowo w zarządzeniu </w:t>
      </w:r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>dokonano zmian o charakterze porządkowym. Dotyczą one m.in. zmiany numeracji kodu produktu rozliczeniowego dedykowanego do rozliczania hospitalizacji świadczeniobiorcy KOC II/III w Oddziale Anestezjologii i Intensywnej Terapii, który został zdublowany z numerem kodu produktu ro</w:t>
      </w:r>
      <w:r w:rsidR="00114251" w:rsidRPr="00585123">
        <w:rPr>
          <w:rFonts w:ascii="Arial" w:eastAsia="Times New Roman" w:hAnsi="Arial" w:cs="Arial"/>
          <w:spacing w:val="-6"/>
          <w:sz w:val="24"/>
          <w:szCs w:val="24"/>
        </w:rPr>
        <w:t>zliczeniowego hospitalizacja do </w:t>
      </w:r>
      <w:proofErr w:type="spellStart"/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>chemioradioterapii</w:t>
      </w:r>
      <w:proofErr w:type="spellEnd"/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&gt; 18 r. ż., oraz zmiany kodu zakresu świadcze</w:t>
      </w:r>
      <w:r w:rsidR="00114251" w:rsidRPr="00585123">
        <w:rPr>
          <w:rFonts w:ascii="Arial" w:eastAsia="Times New Roman" w:hAnsi="Arial" w:cs="Arial"/>
          <w:spacing w:val="-6"/>
          <w:sz w:val="24"/>
          <w:szCs w:val="24"/>
        </w:rPr>
        <w:t>ń związanych z </w:t>
      </w:r>
      <w:proofErr w:type="spellStart"/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>hemodializoterapią</w:t>
      </w:r>
      <w:proofErr w:type="spellEnd"/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, który uległ zmianie z uwagi na podział tych świadczeń ze względu na tryb ich wykonywania (ambulatoryjny lub w </w:t>
      </w:r>
      <w:r w:rsidR="00114251" w:rsidRPr="00585123">
        <w:rPr>
          <w:rFonts w:ascii="Arial" w:eastAsia="Times New Roman" w:hAnsi="Arial" w:cs="Arial"/>
          <w:spacing w:val="-6"/>
          <w:sz w:val="24"/>
          <w:szCs w:val="24"/>
        </w:rPr>
        <w:t>ramach 24- godzinnego dyżuru) i </w:t>
      </w:r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określenie przez </w:t>
      </w:r>
      <w:proofErr w:type="spellStart"/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>AOTMiT</w:t>
      </w:r>
      <w:proofErr w:type="spellEnd"/>
      <w:r w:rsidR="003C4DD6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odrębnych taryf dla tych świadczeń.</w:t>
      </w:r>
      <w:r w:rsidR="00FF1A15" w:rsidRPr="00585123">
        <w:rPr>
          <w:rFonts w:ascii="Arial" w:eastAsia="Times New Roman" w:hAnsi="Arial" w:cs="Arial"/>
          <w:spacing w:val="-6"/>
          <w:sz w:val="24"/>
          <w:szCs w:val="24"/>
        </w:rPr>
        <w:t xml:space="preserve"> Doprecyzowania przepisów odwołujących się do świadczeń w zakresie kompleksowej opieki po zawale mięśnia sercowego (KOS-zawał), finansowanych w ramach umowy w  rodzaju leczenie szpitalne – świadczenia kompleksowe, z uwagi na opublikowanie zarządzenia Prezesa NFZ nr 38/2017/DSOZ.</w:t>
      </w:r>
    </w:p>
    <w:p w:rsidR="00831FF8" w:rsidRPr="00585123" w:rsidRDefault="00831FF8" w:rsidP="0070516E">
      <w:pPr>
        <w:spacing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Skutek finansowy wynikający</w:t>
      </w:r>
      <w:r w:rsidR="0070516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 wprowadzenia dla niektórych świadczeń taryf świadczeń opublikowanych w obwieszczeniu Prezesa Agencji Oceny Technologii Medycznych i Taryfikacji z dnia 30 grudnia 2016 r. i 30 czerwca 2017 r. w sprawie taryf świadczeń gwarantowanych w z rodzaju</w:t>
      </w:r>
      <w:r w:rsidR="0011425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: leczenie szpitalne </w:t>
      </w:r>
      <w:r w:rsidR="0070516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oraz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 wprowadzenia </w:t>
      </w:r>
      <w:r w:rsidR="0070516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pozostałych </w:t>
      </w:r>
      <w:r w:rsidR="002B0B3B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zmian, w tym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zmiany wyceny za punkt szacowany jest, </w:t>
      </w:r>
      <w:r w:rsidR="000955C5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skali sześciu miesięcy, na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około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0B300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428</w:t>
      </w:r>
      <w:r w:rsidR="000955C5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149 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446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PLN.</w:t>
      </w:r>
    </w:p>
    <w:p w:rsidR="00114251" w:rsidRPr="00585123" w:rsidRDefault="008965A4" w:rsidP="0011425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Projekt zarządzenia</w:t>
      </w:r>
      <w:r w:rsidR="00A7629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Prezesa Narodowego Funduszu Zd</w:t>
      </w:r>
      <w:r w:rsidR="000E2AF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rowia, zgodnie z art. 146 ust. 4</w:t>
      </w:r>
      <w:r w:rsidR="00A7629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ustawy o świadczeniach oraz zgodnie z § 2 ust. 3 załącznika do rozporządzenia Ministra Zdrowia z dnia 8 września 2015 r. w s</w:t>
      </w:r>
      <w:r w:rsidR="000E2AF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prawie ogólnych warunków umów o </w:t>
      </w:r>
      <w:r w:rsidR="00A7629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udzielanie świadcze</w:t>
      </w:r>
      <w:r w:rsidR="000E2AF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ń opieki zdrowotnej (Dz. U. 2016</w:t>
      </w:r>
      <w:r w:rsidR="00A7629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r., p</w:t>
      </w:r>
      <w:r w:rsidR="000E2AF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oz. 1146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), został </w:t>
      </w:r>
      <w:r w:rsidR="00A7629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przedstawi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on</w:t>
      </w:r>
      <w:r w:rsidR="003F14C2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y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do konsultacji zewnętrznych.</w:t>
      </w:r>
    </w:p>
    <w:p w:rsidR="00995273" w:rsidRPr="00585123" w:rsidRDefault="00A76294" w:rsidP="00CF47A0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ramach konsultacji publicznych projekt został przedstawiony do zaopiniowania właściwym w sprawie podmiotom:</w:t>
      </w:r>
      <w:r w:rsidR="009F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konsultantom krajowym we</w:t>
      </w:r>
      <w:r w:rsidR="00FA59D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właściwej dziedzinie medycyny,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samorządom zawodowym (Naczelna Rada Lekarska, Naczelna</w:t>
      </w:r>
      <w:r w:rsidR="00FA59D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Rada Pielęgniarek i Położnych),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reprezentatywnym or</w:t>
      </w:r>
      <w:r w:rsidR="00FA59D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ganizacjom świadczeniodawców, w 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rozumieniu art. 31sb ust.1 ustawy o świadczeniach.</w:t>
      </w:r>
    </w:p>
    <w:p w:rsidR="00CE0910" w:rsidRPr="00585123" w:rsidRDefault="00114251" w:rsidP="00CE0910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wyniku konsultacji 51 podmiotów zgłosiło </w:t>
      </w:r>
      <w:r w:rsidR="0000266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120 uwag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i opinii, przy czym od 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właściwych w sprawie podmiotów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wpłynęło </w:t>
      </w:r>
      <w:r w:rsidR="002E264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22</w:t>
      </w:r>
      <w:r w:rsidR="0000266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2E264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opinie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– od konsultantów krajowy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ch w 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dziedzinie: neurochirurgii, ortopedii i traumatologii narządu ruchu, toksykologii klinicznej, anestezjologii i intensywnej terapii, immunologii klinicznej, </w:t>
      </w:r>
      <w:r w:rsidR="0000266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neurologii dziecięcej, </w:t>
      </w:r>
      <w:r w:rsidR="001B417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okulistyki, 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>chirurgii naczyniowej</w:t>
      </w:r>
      <w:r w:rsidR="002E264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onkologii i hematologii dziecięcej i </w:t>
      </w:r>
      <w:r w:rsidR="001B417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medy</w:t>
      </w:r>
      <w:r w:rsidR="002E264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cyny nuklearnej (21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opinii) oraz od reprezentatywnych organizacji świadczeniodawców (1 opinia).</w:t>
      </w:r>
    </w:p>
    <w:p w:rsidR="008B66B6" w:rsidRPr="00585123" w:rsidRDefault="00114251" w:rsidP="00D43FBB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Przekazane uwagi w zdecydowanej  większości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nie dotyczyła treści stanowiących przedmiot konsultacji, w tym propozycje zmian zgłoszone przez </w:t>
      </w:r>
      <w:r w:rsidR="0012344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niektórych 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konsultantów krajowych, które odnosiły się 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m.in. 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: </w:t>
      </w:r>
    </w:p>
    <w:p w:rsidR="008B66B6" w:rsidRPr="00585123" w:rsidRDefault="00CE0910" w:rsidP="008B66B6">
      <w:pPr>
        <w:pStyle w:val="Akapitzlist"/>
        <w:numPr>
          <w:ilvl w:val="0"/>
          <w:numId w:val="12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zmiany wycen produktów</w:t>
      </w:r>
      <w:r w:rsidR="0012344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rozliczeniowych związanych z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leczeniem chorób nerwów obwodowych, </w:t>
      </w:r>
      <w:r w:rsidR="009D354B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leczeniem ciężkich i średnich zatruć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, </w:t>
      </w:r>
      <w:proofErr w:type="spellStart"/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radioembolizacją</w:t>
      </w:r>
      <w:proofErr w:type="spellEnd"/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ognisk przerzutowych z zastosowaniem podawanych do tętnicy wątrobowej mikrosfer znakowanych emiterami promieniowania be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ta, </w:t>
      </w:r>
    </w:p>
    <w:p w:rsidR="008B66B6" w:rsidRPr="00585123" w:rsidRDefault="00123444" w:rsidP="00123444">
      <w:pPr>
        <w:pStyle w:val="Akapitzlist"/>
        <w:numPr>
          <w:ilvl w:val="0"/>
          <w:numId w:val="12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wprowadzenia do katalogów 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nowych produktów rozliczeniowych dedykowanych 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 rozlicza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nia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np. 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leczenia</w:t>
      </w:r>
      <w:r w:rsidR="009125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nieoperacyjnych</w:t>
      </w:r>
      <w:r w:rsidR="009125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guz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ów neuroendokrynnych</w:t>
      </w:r>
      <w:r w:rsidR="009125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 zastosowaniem analogów </w:t>
      </w:r>
      <w:proofErr w:type="spellStart"/>
      <w:r w:rsidR="009125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somatostaty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ny</w:t>
      </w:r>
      <w:proofErr w:type="spellEnd"/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znakowanych radioizotopami - </w:t>
      </w:r>
      <w:r w:rsidR="009125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emit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erami promieniowania beta/alfa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hospitalizacji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po zabiegu DBS celem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ustalenia parametrów stymulacji i farmakoterapii (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dla rozpoznań: G20, G24, G25)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,</w:t>
      </w:r>
    </w:p>
    <w:p w:rsidR="00123444" w:rsidRPr="00585123" w:rsidRDefault="009D354B" w:rsidP="00123444">
      <w:pPr>
        <w:pStyle w:val="Akapitzlist"/>
        <w:numPr>
          <w:ilvl w:val="0"/>
          <w:numId w:val="12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umożliwienia rozliczania w 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ramach zakresu chirurgia dziecięca niektórych</w:t>
      </w:r>
      <w:r w:rsidR="001B417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świadczeń, m.in. związanych z: 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leczeniem ciężkich wad rozwojowy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ch płuc, rekonstrukcją złamań w 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obrębie miednicy, endoskopowymi zabiegami gr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uczołu krokowego, diagnostyka i 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leczeniem</w:t>
      </w:r>
      <w:r w:rsidR="001B417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guzów litych narządów i tkanek </w:t>
      </w:r>
    </w:p>
    <w:p w:rsidR="00090B7D" w:rsidRPr="00585123" w:rsidRDefault="00123444" w:rsidP="00123444">
      <w:pPr>
        <w:tabs>
          <w:tab w:val="left" w:pos="993"/>
        </w:tabs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Powyższe postulaty </w:t>
      </w:r>
      <w:r w:rsidR="00CE091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nie zostały uwzględnione.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Uznano, że przedmiotowe wnioski </w:t>
      </w:r>
      <w:r w:rsidR="009125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 uwagi na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aspekt 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finansowy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- 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zarów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no zmiana wyceny świadczeń jak 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zasadność wprowadzania nowych produktów rozliczeniowych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- 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wymagają </w:t>
      </w:r>
      <w:r w:rsidR="0069555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szczegółowych </w:t>
      </w:r>
      <w:r w:rsidR="00D374B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analiz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69555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 udziałem </w:t>
      </w:r>
      <w:proofErr w:type="spellStart"/>
      <w:r w:rsidR="0069555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AOTMiT</w:t>
      </w:r>
      <w:proofErr w:type="spellEnd"/>
      <w:r w:rsidR="00524197" w:rsidRPr="00585123">
        <w:t xml:space="preserve"> </w:t>
      </w:r>
      <w:r w:rsidR="00D43FBB" w:rsidRPr="00585123">
        <w:t>(</w:t>
      </w:r>
      <w:r w:rsidR="00695551" w:rsidRPr="00585123">
        <w:rPr>
          <w:rFonts w:ascii="Arial" w:hAnsi="Arial" w:cs="Arial"/>
          <w:sz w:val="24"/>
          <w:szCs w:val="24"/>
        </w:rPr>
        <w:t>w aspekcie</w:t>
      </w:r>
      <w:r w:rsidR="00695551" w:rsidRPr="00585123">
        <w:t xml:space="preserve"> </w:t>
      </w:r>
      <w:r w:rsidR="0069555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ewentualnego </w:t>
      </w:r>
      <w:r w:rsidR="0052419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określenia </w:t>
      </w:r>
      <w:r w:rsidR="0069555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nowych taryf dla wnioskowanych świadczeń</w:t>
      </w:r>
      <w:r w:rsidR="00D43FBB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), w tym analizy skutków finansowych dla płatnika.</w:t>
      </w:r>
    </w:p>
    <w:p w:rsidR="00CE0910" w:rsidRPr="00585123" w:rsidRDefault="001B417C" w:rsidP="001B417C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Nie uwzględniono także postulatów </w:t>
      </w:r>
      <w:r w:rsidR="00090B7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konsultantów </w:t>
      </w:r>
      <w:r w:rsidR="007A6C5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zakresie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objęcia niektórych chorób: m.in. krwotoków wewnątrzczaszkowych z tętniaków, naczyniaków, guzów mózgu, tętniaków </w:t>
      </w:r>
      <w:r w:rsidR="00090B7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aorty, tętniaków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odcinaka </w:t>
      </w:r>
      <w:r w:rsidR="00090B7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piersiowo brzusznego, zatorów i zakrzepów brzusznej części tętnicy głównej, </w:t>
      </w:r>
      <w:r w:rsidR="00FA617C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ciężkich i wielonarządowych obrażeń ciała - </w:t>
      </w:r>
      <w:r w:rsidR="00090B7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rozliczaniem bez limitowym</w:t>
      </w:r>
      <w:r w:rsidR="001F022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z uwagi, na brak wydzielenia takich świadczeń</w:t>
      </w:r>
      <w:r w:rsidR="00090B7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1F0221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ramach systemu zabezpieczenia.</w:t>
      </w:r>
    </w:p>
    <w:p w:rsidR="007A6C5F" w:rsidRPr="00585123" w:rsidRDefault="00CE0910" w:rsidP="007A6C5F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 zarządzeniu uwzględnione zostały wyłącznie </w:t>
      </w:r>
      <w:r w:rsidR="007A6C5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opinie i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uwagi </w:t>
      </w:r>
      <w:r w:rsidR="005C769E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 charakterze merytorycznym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dotyczące przedmiotu konsulta</w:t>
      </w:r>
      <w:r w:rsidR="007A6C5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cji, </w:t>
      </w:r>
      <w:r w:rsidR="002E4AC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szczególności odnoszące się do:</w:t>
      </w:r>
    </w:p>
    <w:p w:rsidR="002E4AC4" w:rsidRPr="00585123" w:rsidRDefault="002E4AC4" w:rsidP="002E4AC4">
      <w:pPr>
        <w:pStyle w:val="Akapitzlist"/>
        <w:numPr>
          <w:ilvl w:val="0"/>
          <w:numId w:val="19"/>
        </w:numPr>
        <w:spacing w:before="60" w:after="60" w:line="360" w:lineRule="auto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rozszerzenia w karcie punktacji skali TISS-28 grupy leków </w:t>
      </w:r>
      <w:proofErr w:type="spellStart"/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wazoaktywnych</w:t>
      </w:r>
      <w:proofErr w:type="spellEnd"/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oraz </w:t>
      </w:r>
    </w:p>
    <w:p w:rsidR="007A6C5F" w:rsidRPr="00585123" w:rsidRDefault="00880049" w:rsidP="002E4AC4">
      <w:pPr>
        <w:pStyle w:val="Akapitzlist"/>
        <w:spacing w:line="360" w:lineRule="auto"/>
        <w:ind w:left="0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dodania do inwazyjnego monitorowania układu krążenia innych metod kalibrowanych (</w:t>
      </w:r>
      <w:proofErr w:type="spellStart"/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termodylucja</w:t>
      </w:r>
      <w:proofErr w:type="spellEnd"/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przezskórna, dylacja litu)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i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 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listy interwencji podejmowanych w </w:t>
      </w:r>
      <w:proofErr w:type="spellStart"/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OAiIT</w:t>
      </w:r>
      <w:proofErr w:type="spellEnd"/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 xml:space="preserve">kalorymetrii pośredniej </w:t>
      </w:r>
      <w:r w:rsidR="002E4AC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–</w:t>
      </w:r>
      <w:r w:rsidR="005E356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uwaga</w:t>
      </w:r>
      <w:r w:rsidR="002E4AC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5E356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zgłoszona</w:t>
      </w:r>
      <w:r w:rsidR="002E4AC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przez </w:t>
      </w:r>
      <w:r w:rsidR="007A6C5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Konsultanta Krajowego w dziedzinie anestezjologii </w:t>
      </w:r>
      <w:r w:rsidR="002E4AC4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i intensywnej terapii;</w:t>
      </w:r>
    </w:p>
    <w:p w:rsidR="005E356D" w:rsidRPr="00585123" w:rsidRDefault="005E356D" w:rsidP="005E356D">
      <w:pPr>
        <w:pStyle w:val="Akapitzlist"/>
        <w:numPr>
          <w:ilvl w:val="0"/>
          <w:numId w:val="19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modyfikacji warunków rozliczania padaczki lekoopornej w części dotyczącej badania EEG poprzez uznanie - w przypadku dzieci - za wystarczające zapis typu </w:t>
      </w:r>
      <w:proofErr w:type="spellStart"/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hipsarytmia</w:t>
      </w:r>
      <w:proofErr w:type="spellEnd"/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lub SBA i ciągłych wyładowań napadowych – uwaga zgłoszona przez Konsultanta Krajowego w dziedzinie neurologii dziecięcej;</w:t>
      </w:r>
    </w:p>
    <w:p w:rsidR="00B21237" w:rsidRPr="00585123" w:rsidRDefault="003B0CD5" w:rsidP="00E92BAF">
      <w:pPr>
        <w:pStyle w:val="Akapitzlist"/>
        <w:numPr>
          <w:ilvl w:val="0"/>
          <w:numId w:val="1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d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la świadczeniodawców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wykonujących 50 i więcej operacji rewizyjnych stawów kolanowych i biodrowych współczynnika korygującego wartość produktów rozliczeniowych </w:t>
      </w:r>
      <w:r w:rsidR="00827E25">
        <w:rPr>
          <w:rFonts w:ascii="Arial" w:eastAsia="Times New Roman" w:hAnsi="Arial" w:cs="Arial"/>
          <w:spacing w:val="-6"/>
          <w:sz w:val="24"/>
          <w:szCs w:val="24"/>
          <w:lang w:eastAsia="pl-PL"/>
        </w:rPr>
        <w:t>(H09, H10, H11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,</w:t>
      </w:r>
      <w:r w:rsidR="00D34876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H16, H17, H18</w:t>
      </w:r>
      <w:r w:rsidR="00827E25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H19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) na poziomie 1,5 -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uwaga zgłoszona przez Konsultanta Krajowego w dziedzinie ortopedii i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traumatologii narządu ruchu</w:t>
      </w:r>
      <w:r w:rsidR="00B21237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2E264D" w:rsidRPr="00585123" w:rsidRDefault="002E264D" w:rsidP="002E264D">
      <w:pPr>
        <w:pStyle w:val="Akapitzlist"/>
        <w:numPr>
          <w:ilvl w:val="0"/>
          <w:numId w:val="19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uzupełninia rozpoznania C92.2, C93 w wykazie badań genetycznych w chorobach nowotworowych – uwaga zgłoszona przez Konsultanta Krajowego w dziedzinie onkologii i hematologii dziecięcej;</w:t>
      </w:r>
    </w:p>
    <w:p w:rsidR="002E4AC4" w:rsidRPr="00585123" w:rsidRDefault="002E4AC4" w:rsidP="00050380">
      <w:pPr>
        <w:pStyle w:val="Akapitzlist"/>
        <w:numPr>
          <w:ilvl w:val="0"/>
          <w:numId w:val="19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możliwości realizacji diagnostyki genetycznej chorób now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otworowych dodatkowo w zakresie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świadczeń: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położnictwo i ginekologia, w związku z kompleksowym leczeniem </w:t>
      </w:r>
      <w:r w:rsidR="0005038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raka jajnika 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oddziałach ginekologicznych</w:t>
      </w:r>
      <w:r w:rsidR="0005038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– uwagi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zgłoszone przez </w:t>
      </w:r>
      <w:r w:rsidR="008C5E7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podmioty realizujące świadczenia onk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ologiczne (pakiet onkologiczny);</w:t>
      </w:r>
    </w:p>
    <w:p w:rsidR="00A84974" w:rsidRPr="00585123" w:rsidRDefault="00A84974" w:rsidP="00A84974">
      <w:pPr>
        <w:pStyle w:val="Akapitzlist"/>
        <w:numPr>
          <w:ilvl w:val="0"/>
          <w:numId w:val="19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możliwości rozliczania leczenia powikłań infekcyjnych i nieinfekcyjnych, odrzucenia przeszczepu lub przewlekłej choroby przeszczep przeciw gospodarzowi u chorego po przeszczepieniu narządu od 31 dnia po wykonaniu przeszczepu odrzucenia w zakresie chirurgii klatki piersiowej oraz chorób płuc – uwaga zgłoszona przez Wielkopolskie Centrum Pulmonologii i Torakochirurgii;</w:t>
      </w:r>
    </w:p>
    <w:p w:rsidR="00536C98" w:rsidRPr="00585123" w:rsidRDefault="00536C98" w:rsidP="00536C98">
      <w:pPr>
        <w:pStyle w:val="Akapitzlist"/>
        <w:numPr>
          <w:ilvl w:val="0"/>
          <w:numId w:val="19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i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rozszerzenia rozpoznań do  rozliczania produktem dedykowanym do rozliczania opieki psychologicznej dla kobiet w sytuacji niepowodzenia położniczego o rozpoznania  wg ICD-10: </w:t>
      </w:r>
      <w:r w:rsidRPr="00585123">
        <w:rPr>
          <w:rFonts w:ascii="Arial" w:eastAsia="Times New Roman" w:hAnsi="Arial" w:cs="Arial"/>
          <w:i/>
          <w:spacing w:val="-6"/>
          <w:sz w:val="24"/>
          <w:szCs w:val="24"/>
          <w:lang w:eastAsia="pl-PL"/>
        </w:rPr>
        <w:t>O35 Opieka położnicza z powodu znanej lub podejrzewanej nieprawidłowości lub uszkodzenia płodu,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585123">
        <w:rPr>
          <w:rFonts w:ascii="Arial" w:eastAsia="Times New Roman" w:hAnsi="Arial" w:cs="Arial"/>
          <w:i/>
          <w:spacing w:val="-6"/>
          <w:sz w:val="24"/>
          <w:szCs w:val="24"/>
          <w:lang w:eastAsia="pl-PL"/>
        </w:rPr>
        <w:t xml:space="preserve">O36, 4 Opieka położnicza z powodu obumarcia płodu (śmierci wewnątrzmacicznej) –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uwaga zgłoszona pr</w:t>
      </w:r>
      <w:r w:rsidR="003B0CD5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zez Konsultanta Wojewódzkiego w dziedzinie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. położnictwa i ginekologii </w:t>
      </w:r>
      <w:r w:rsidR="003B0CD5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oraz </w:t>
      </w:r>
      <w:r w:rsidR="005E356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psychologów klinicznych;</w:t>
      </w:r>
    </w:p>
    <w:p w:rsidR="005E356D" w:rsidRPr="00585123" w:rsidRDefault="00FC0FC5" w:rsidP="00B21237">
      <w:pPr>
        <w:pStyle w:val="Akapitzlist"/>
        <w:numPr>
          <w:ilvl w:val="0"/>
          <w:numId w:val="19"/>
        </w:numPr>
        <w:tabs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możliwości rozliczania w zakresie onkologii klinicznej świadczeń onkologicznych z JGP: F03, G26E, G26F, G33, G34, G35 – uwagi zgłoszone przez podmioty lecznicze realizujące leczenie onkologiczne;</w:t>
      </w:r>
    </w:p>
    <w:p w:rsidR="00FC0FC5" w:rsidRPr="00585123" w:rsidRDefault="00B21237" w:rsidP="00B21237">
      <w:pPr>
        <w:pStyle w:val="Akapitzlist"/>
        <w:numPr>
          <w:ilvl w:val="0"/>
          <w:numId w:val="1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dla grup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: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N09 i N11 liczby dni finansowanych grupą oraz  wartości punktowej osobodnia ponad ryczał finansowany grupą – uwaga zgłoszona przez podmioty lecznicze;</w:t>
      </w:r>
    </w:p>
    <w:p w:rsidR="00983D96" w:rsidRPr="00585123" w:rsidRDefault="00983D96" w:rsidP="00983D96">
      <w:pPr>
        <w:pStyle w:val="Akapitzlist"/>
        <w:numPr>
          <w:ilvl w:val="0"/>
          <w:numId w:val="1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 xml:space="preserve">wprowadzenia 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 katalog produktów do sumowania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produktów dedykowany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ch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do rozliczania składników krwi, m.in. przetoczenia osocza świeżo mrożonego po karencji, przetoczenia krioprecypitatu po karencji – uwaga zgłoszona przez podmioty lecznicze 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USK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we Wrocławiu</w:t>
      </w:r>
      <w:r w:rsidR="008B66B6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, WIM w Warszawie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;</w:t>
      </w:r>
    </w:p>
    <w:p w:rsidR="000154BA" w:rsidRPr="00585123" w:rsidRDefault="00FA617C" w:rsidP="002E264D">
      <w:pPr>
        <w:pStyle w:val="Akapitzlist"/>
        <w:numPr>
          <w:ilvl w:val="0"/>
          <w:numId w:val="19"/>
        </w:numPr>
        <w:tabs>
          <w:tab w:val="left" w:pos="0"/>
          <w:tab w:val="left" w:pos="993"/>
        </w:tabs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weryfikacji założeń dotyczących 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różnicy między wyceną punktową przy realizacji umów w ramach hospitalizacji planowej i leczenia jednego dnia, </w:t>
      </w:r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 </w:t>
      </w:r>
      <w:r w:rsidR="00E92BAF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szczególności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różnic w</w:t>
      </w:r>
      <w:r w:rsidR="00EB48F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wycenie świadczeń </w:t>
      </w:r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zabiegowych w trybie leczenia jednego dnia i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</w:t>
      </w:r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przypadku „hospitalizacji </w:t>
      </w:r>
      <w:r w:rsidR="00EB48F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&lt;3 dni” (tj. wydłużenia</w:t>
      </w:r>
      <w:r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o jeden dzień czasu trwania hospitalizacji</w:t>
      </w:r>
      <w:r w:rsidR="00EB48F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)</w:t>
      </w:r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– uwagi zgłoszone przez podmioty lecznicze, opinia AOTM </w:t>
      </w:r>
      <w:proofErr w:type="spellStart"/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iT</w:t>
      </w:r>
      <w:proofErr w:type="spellEnd"/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</w:t>
      </w:r>
      <w:r w:rsidR="00EB48F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dokonana </w:t>
      </w:r>
      <w:r w:rsidR="00235840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na podstawie danych kosztowych p</w:t>
      </w:r>
      <w:r w:rsidR="002E264D" w:rsidRPr="0058512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ozyskanych od świadczeniodawców.</w:t>
      </w:r>
    </w:p>
    <w:sectPr w:rsidR="000154BA" w:rsidRPr="00585123" w:rsidSect="005E1833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C0" w:rsidRDefault="007729C0" w:rsidP="0024036F">
      <w:pPr>
        <w:spacing w:after="0" w:line="240" w:lineRule="auto"/>
      </w:pPr>
      <w:r>
        <w:separator/>
      </w:r>
    </w:p>
  </w:endnote>
  <w:endnote w:type="continuationSeparator" w:id="0">
    <w:p w:rsidR="007729C0" w:rsidRDefault="007729C0" w:rsidP="0024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24036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D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240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C0" w:rsidRDefault="007729C0" w:rsidP="0024036F">
      <w:pPr>
        <w:spacing w:after="0" w:line="240" w:lineRule="auto"/>
      </w:pPr>
      <w:r>
        <w:separator/>
      </w:r>
    </w:p>
  </w:footnote>
  <w:footnote w:type="continuationSeparator" w:id="0">
    <w:p w:rsidR="007729C0" w:rsidRDefault="007729C0" w:rsidP="00240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3DE8"/>
    <w:multiLevelType w:val="hybridMultilevel"/>
    <w:tmpl w:val="71EAB88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F1260"/>
    <w:multiLevelType w:val="hybridMultilevel"/>
    <w:tmpl w:val="40CC569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94C0771"/>
    <w:multiLevelType w:val="hybridMultilevel"/>
    <w:tmpl w:val="5170C1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5A0A88"/>
    <w:multiLevelType w:val="hybridMultilevel"/>
    <w:tmpl w:val="66068C22"/>
    <w:lvl w:ilvl="0" w:tplc="43A8ED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4">
    <w:nsid w:val="2D433164"/>
    <w:multiLevelType w:val="hybridMultilevel"/>
    <w:tmpl w:val="C022845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E28B4"/>
    <w:multiLevelType w:val="hybridMultilevel"/>
    <w:tmpl w:val="7AA6AC7C"/>
    <w:lvl w:ilvl="0" w:tplc="5FE2FA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D35E46"/>
    <w:multiLevelType w:val="hybridMultilevel"/>
    <w:tmpl w:val="C984629A"/>
    <w:lvl w:ilvl="0" w:tplc="43A8ED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354232"/>
    <w:multiLevelType w:val="hybridMultilevel"/>
    <w:tmpl w:val="B82C0706"/>
    <w:lvl w:ilvl="0" w:tplc="D500ED32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9">
    <w:nsid w:val="3FEA2697"/>
    <w:multiLevelType w:val="hybridMultilevel"/>
    <w:tmpl w:val="696EF73A"/>
    <w:lvl w:ilvl="0" w:tplc="21C4B4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0A6F67"/>
    <w:multiLevelType w:val="hybridMultilevel"/>
    <w:tmpl w:val="DA765F0C"/>
    <w:lvl w:ilvl="0" w:tplc="9B84AF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1DC468C"/>
    <w:multiLevelType w:val="hybridMultilevel"/>
    <w:tmpl w:val="4870527C"/>
    <w:lvl w:ilvl="0" w:tplc="5F64F3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4D7EB6"/>
    <w:multiLevelType w:val="hybridMultilevel"/>
    <w:tmpl w:val="FEDAB618"/>
    <w:lvl w:ilvl="0" w:tplc="F52C474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81AE7"/>
    <w:multiLevelType w:val="hybridMultilevel"/>
    <w:tmpl w:val="579EC588"/>
    <w:lvl w:ilvl="0" w:tplc="43A8E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A3A35D2"/>
    <w:multiLevelType w:val="hybridMultilevel"/>
    <w:tmpl w:val="DA0A3726"/>
    <w:lvl w:ilvl="0" w:tplc="43A8ED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A9976CE"/>
    <w:multiLevelType w:val="hybridMultilevel"/>
    <w:tmpl w:val="558080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1F7063"/>
    <w:multiLevelType w:val="hybridMultilevel"/>
    <w:tmpl w:val="C042480A"/>
    <w:lvl w:ilvl="0" w:tplc="43A8ED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5BBF0974"/>
    <w:multiLevelType w:val="hybridMultilevel"/>
    <w:tmpl w:val="8F2E64C8"/>
    <w:lvl w:ilvl="0" w:tplc="31562898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02DBE"/>
    <w:multiLevelType w:val="hybridMultilevel"/>
    <w:tmpl w:val="3DF8AC44"/>
    <w:lvl w:ilvl="0" w:tplc="5F64F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689742A8"/>
    <w:multiLevelType w:val="hybridMultilevel"/>
    <w:tmpl w:val="576E9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AE3E4E"/>
    <w:multiLevelType w:val="hybridMultilevel"/>
    <w:tmpl w:val="C896CCEE"/>
    <w:lvl w:ilvl="0" w:tplc="43A8ED28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3">
    <w:nsid w:val="70507EB2"/>
    <w:multiLevelType w:val="hybridMultilevel"/>
    <w:tmpl w:val="6DAA69E6"/>
    <w:lvl w:ilvl="0" w:tplc="43A8E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1D83218"/>
    <w:multiLevelType w:val="multilevel"/>
    <w:tmpl w:val="E11ED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F2771"/>
    <w:multiLevelType w:val="hybridMultilevel"/>
    <w:tmpl w:val="9CECB2B6"/>
    <w:lvl w:ilvl="0" w:tplc="43A8E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A281731"/>
    <w:multiLevelType w:val="hybridMultilevel"/>
    <w:tmpl w:val="51246744"/>
    <w:lvl w:ilvl="0" w:tplc="DFC2D0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7"/>
  </w:num>
  <w:num w:numId="3">
    <w:abstractNumId w:val="21"/>
  </w:num>
  <w:num w:numId="4">
    <w:abstractNumId w:val="9"/>
  </w:num>
  <w:num w:numId="5">
    <w:abstractNumId w:val="0"/>
  </w:num>
  <w:num w:numId="6">
    <w:abstractNumId w:val="17"/>
  </w:num>
  <w:num w:numId="7">
    <w:abstractNumId w:val="24"/>
  </w:num>
  <w:num w:numId="8">
    <w:abstractNumId w:val="5"/>
  </w:num>
  <w:num w:numId="9">
    <w:abstractNumId w:val="26"/>
  </w:num>
  <w:num w:numId="10">
    <w:abstractNumId w:val="13"/>
  </w:num>
  <w:num w:numId="11">
    <w:abstractNumId w:val="23"/>
  </w:num>
  <w:num w:numId="12">
    <w:abstractNumId w:val="15"/>
  </w:num>
  <w:num w:numId="13">
    <w:abstractNumId w:val="8"/>
  </w:num>
  <w:num w:numId="14">
    <w:abstractNumId w:val="18"/>
  </w:num>
  <w:num w:numId="15">
    <w:abstractNumId w:val="2"/>
  </w:num>
  <w:num w:numId="16">
    <w:abstractNumId w:val="25"/>
  </w:num>
  <w:num w:numId="17">
    <w:abstractNumId w:val="1"/>
  </w:num>
  <w:num w:numId="18">
    <w:abstractNumId w:val="10"/>
  </w:num>
  <w:num w:numId="19">
    <w:abstractNumId w:val="12"/>
  </w:num>
  <w:num w:numId="20">
    <w:abstractNumId w:val="3"/>
  </w:num>
  <w:num w:numId="21">
    <w:abstractNumId w:val="6"/>
  </w:num>
  <w:num w:numId="22">
    <w:abstractNumId w:val="11"/>
  </w:num>
  <w:num w:numId="23">
    <w:abstractNumId w:val="4"/>
  </w:num>
  <w:num w:numId="24">
    <w:abstractNumId w:val="20"/>
  </w:num>
  <w:num w:numId="25">
    <w:abstractNumId w:val="22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266C"/>
    <w:rsid w:val="000154BA"/>
    <w:rsid w:val="0002265B"/>
    <w:rsid w:val="000334D1"/>
    <w:rsid w:val="00040114"/>
    <w:rsid w:val="00050380"/>
    <w:rsid w:val="000539C9"/>
    <w:rsid w:val="00063842"/>
    <w:rsid w:val="00063B15"/>
    <w:rsid w:val="0007602F"/>
    <w:rsid w:val="00086079"/>
    <w:rsid w:val="00086352"/>
    <w:rsid w:val="00090B7D"/>
    <w:rsid w:val="000955C5"/>
    <w:rsid w:val="000A119F"/>
    <w:rsid w:val="000A4E1E"/>
    <w:rsid w:val="000B300D"/>
    <w:rsid w:val="000C003E"/>
    <w:rsid w:val="000D543C"/>
    <w:rsid w:val="000D7F77"/>
    <w:rsid w:val="000E0F7C"/>
    <w:rsid w:val="000E2AFF"/>
    <w:rsid w:val="001016C0"/>
    <w:rsid w:val="00114251"/>
    <w:rsid w:val="00123444"/>
    <w:rsid w:val="001550B9"/>
    <w:rsid w:val="00156BB9"/>
    <w:rsid w:val="00166183"/>
    <w:rsid w:val="00167168"/>
    <w:rsid w:val="00167F85"/>
    <w:rsid w:val="00170994"/>
    <w:rsid w:val="00195119"/>
    <w:rsid w:val="00195C94"/>
    <w:rsid w:val="00196FB0"/>
    <w:rsid w:val="001B417C"/>
    <w:rsid w:val="001B4852"/>
    <w:rsid w:val="001C000A"/>
    <w:rsid w:val="001C25C0"/>
    <w:rsid w:val="001C7EDB"/>
    <w:rsid w:val="001D3313"/>
    <w:rsid w:val="001F0221"/>
    <w:rsid w:val="001F43EB"/>
    <w:rsid w:val="00205E0F"/>
    <w:rsid w:val="00221816"/>
    <w:rsid w:val="00225F64"/>
    <w:rsid w:val="002317A5"/>
    <w:rsid w:val="002343FB"/>
    <w:rsid w:val="00235840"/>
    <w:rsid w:val="0024036F"/>
    <w:rsid w:val="00253C36"/>
    <w:rsid w:val="00257238"/>
    <w:rsid w:val="00262BB3"/>
    <w:rsid w:val="00267944"/>
    <w:rsid w:val="0027242C"/>
    <w:rsid w:val="002873F6"/>
    <w:rsid w:val="002928F5"/>
    <w:rsid w:val="00294DE5"/>
    <w:rsid w:val="002A19B6"/>
    <w:rsid w:val="002B06D3"/>
    <w:rsid w:val="002B0B3B"/>
    <w:rsid w:val="002C4BB3"/>
    <w:rsid w:val="002D4026"/>
    <w:rsid w:val="002D6FFD"/>
    <w:rsid w:val="002E1EA4"/>
    <w:rsid w:val="002E264D"/>
    <w:rsid w:val="002E4AC4"/>
    <w:rsid w:val="002F5F0A"/>
    <w:rsid w:val="00306BE2"/>
    <w:rsid w:val="00316B75"/>
    <w:rsid w:val="003248FF"/>
    <w:rsid w:val="0033198A"/>
    <w:rsid w:val="00331A16"/>
    <w:rsid w:val="003770F4"/>
    <w:rsid w:val="00392A6E"/>
    <w:rsid w:val="00392D1E"/>
    <w:rsid w:val="003959C3"/>
    <w:rsid w:val="003A287F"/>
    <w:rsid w:val="003A36DA"/>
    <w:rsid w:val="003A46CB"/>
    <w:rsid w:val="003B0CD5"/>
    <w:rsid w:val="003C4DD6"/>
    <w:rsid w:val="003D527C"/>
    <w:rsid w:val="003E3162"/>
    <w:rsid w:val="003F14C2"/>
    <w:rsid w:val="003F5216"/>
    <w:rsid w:val="00406F59"/>
    <w:rsid w:val="00423B43"/>
    <w:rsid w:val="004316BE"/>
    <w:rsid w:val="00440314"/>
    <w:rsid w:val="00470CDC"/>
    <w:rsid w:val="004735A6"/>
    <w:rsid w:val="004853A3"/>
    <w:rsid w:val="00494414"/>
    <w:rsid w:val="004B0738"/>
    <w:rsid w:val="004C0BF6"/>
    <w:rsid w:val="004C24A8"/>
    <w:rsid w:val="004D46E8"/>
    <w:rsid w:val="004D4A9A"/>
    <w:rsid w:val="004D5941"/>
    <w:rsid w:val="004D6054"/>
    <w:rsid w:val="004D76F8"/>
    <w:rsid w:val="00503440"/>
    <w:rsid w:val="00506B97"/>
    <w:rsid w:val="00523BB4"/>
    <w:rsid w:val="00524197"/>
    <w:rsid w:val="00536C98"/>
    <w:rsid w:val="00540ABE"/>
    <w:rsid w:val="005525ED"/>
    <w:rsid w:val="00552ABC"/>
    <w:rsid w:val="00564AEB"/>
    <w:rsid w:val="00565228"/>
    <w:rsid w:val="00570506"/>
    <w:rsid w:val="00585123"/>
    <w:rsid w:val="005B4AEE"/>
    <w:rsid w:val="005B64A3"/>
    <w:rsid w:val="005C05C4"/>
    <w:rsid w:val="005C43FE"/>
    <w:rsid w:val="005C769E"/>
    <w:rsid w:val="005E1833"/>
    <w:rsid w:val="005E356D"/>
    <w:rsid w:val="005F30F6"/>
    <w:rsid w:val="005F78B4"/>
    <w:rsid w:val="00600FDB"/>
    <w:rsid w:val="006034A3"/>
    <w:rsid w:val="0060359C"/>
    <w:rsid w:val="00612C20"/>
    <w:rsid w:val="00616E4E"/>
    <w:rsid w:val="006241F4"/>
    <w:rsid w:val="00624B38"/>
    <w:rsid w:val="00624D2F"/>
    <w:rsid w:val="00686A97"/>
    <w:rsid w:val="006928C2"/>
    <w:rsid w:val="00695551"/>
    <w:rsid w:val="006A3498"/>
    <w:rsid w:val="006A66D3"/>
    <w:rsid w:val="006B1583"/>
    <w:rsid w:val="006B4899"/>
    <w:rsid w:val="006B7151"/>
    <w:rsid w:val="006C083B"/>
    <w:rsid w:val="006C0B05"/>
    <w:rsid w:val="006D6F36"/>
    <w:rsid w:val="006E6638"/>
    <w:rsid w:val="006F0836"/>
    <w:rsid w:val="006F52F2"/>
    <w:rsid w:val="007002FC"/>
    <w:rsid w:val="0070516E"/>
    <w:rsid w:val="00710D3B"/>
    <w:rsid w:val="00713780"/>
    <w:rsid w:val="007226F9"/>
    <w:rsid w:val="00734D1A"/>
    <w:rsid w:val="00734DB9"/>
    <w:rsid w:val="0073510E"/>
    <w:rsid w:val="00740080"/>
    <w:rsid w:val="00741E3B"/>
    <w:rsid w:val="00743089"/>
    <w:rsid w:val="00750C8B"/>
    <w:rsid w:val="007622A7"/>
    <w:rsid w:val="00763607"/>
    <w:rsid w:val="00767F2E"/>
    <w:rsid w:val="007729C0"/>
    <w:rsid w:val="007738A9"/>
    <w:rsid w:val="00780A53"/>
    <w:rsid w:val="00794DDB"/>
    <w:rsid w:val="007A6C5F"/>
    <w:rsid w:val="007A76DC"/>
    <w:rsid w:val="007B5AD4"/>
    <w:rsid w:val="007C7BFE"/>
    <w:rsid w:val="007F225B"/>
    <w:rsid w:val="008034EB"/>
    <w:rsid w:val="008104EB"/>
    <w:rsid w:val="00815E0C"/>
    <w:rsid w:val="00827790"/>
    <w:rsid w:val="00827E25"/>
    <w:rsid w:val="00831FF8"/>
    <w:rsid w:val="00837F0B"/>
    <w:rsid w:val="00847E4E"/>
    <w:rsid w:val="00854CA3"/>
    <w:rsid w:val="00862CCB"/>
    <w:rsid w:val="00873AFF"/>
    <w:rsid w:val="008764C3"/>
    <w:rsid w:val="00880049"/>
    <w:rsid w:val="00880A85"/>
    <w:rsid w:val="008904B8"/>
    <w:rsid w:val="00891C92"/>
    <w:rsid w:val="00894AD4"/>
    <w:rsid w:val="008965A4"/>
    <w:rsid w:val="008B1FA6"/>
    <w:rsid w:val="008B66B6"/>
    <w:rsid w:val="008C530A"/>
    <w:rsid w:val="008C5E76"/>
    <w:rsid w:val="008D180A"/>
    <w:rsid w:val="008D6AAD"/>
    <w:rsid w:val="008E75BC"/>
    <w:rsid w:val="008F077E"/>
    <w:rsid w:val="008F5AE3"/>
    <w:rsid w:val="008F7863"/>
    <w:rsid w:val="00900B36"/>
    <w:rsid w:val="00905B6A"/>
    <w:rsid w:val="0091179E"/>
    <w:rsid w:val="0091259E"/>
    <w:rsid w:val="00924C5B"/>
    <w:rsid w:val="00937A8E"/>
    <w:rsid w:val="00953038"/>
    <w:rsid w:val="0095421C"/>
    <w:rsid w:val="00962B2F"/>
    <w:rsid w:val="00983D96"/>
    <w:rsid w:val="00984404"/>
    <w:rsid w:val="00995273"/>
    <w:rsid w:val="00997C66"/>
    <w:rsid w:val="009C05FA"/>
    <w:rsid w:val="009C6DE0"/>
    <w:rsid w:val="009D2814"/>
    <w:rsid w:val="009D354B"/>
    <w:rsid w:val="009E7A4A"/>
    <w:rsid w:val="009F4BA6"/>
    <w:rsid w:val="009F5840"/>
    <w:rsid w:val="00A40E42"/>
    <w:rsid w:val="00A42E98"/>
    <w:rsid w:val="00A47DEE"/>
    <w:rsid w:val="00A55D55"/>
    <w:rsid w:val="00A66ABD"/>
    <w:rsid w:val="00A70170"/>
    <w:rsid w:val="00A7364F"/>
    <w:rsid w:val="00A76294"/>
    <w:rsid w:val="00A77F50"/>
    <w:rsid w:val="00A84974"/>
    <w:rsid w:val="00A90B30"/>
    <w:rsid w:val="00A93D28"/>
    <w:rsid w:val="00A94BFA"/>
    <w:rsid w:val="00AD0A83"/>
    <w:rsid w:val="00AD380D"/>
    <w:rsid w:val="00AD6E37"/>
    <w:rsid w:val="00AF13EC"/>
    <w:rsid w:val="00B10301"/>
    <w:rsid w:val="00B21237"/>
    <w:rsid w:val="00B375B7"/>
    <w:rsid w:val="00B54277"/>
    <w:rsid w:val="00B57DF3"/>
    <w:rsid w:val="00B677BD"/>
    <w:rsid w:val="00B72DF0"/>
    <w:rsid w:val="00B86D7A"/>
    <w:rsid w:val="00B91A36"/>
    <w:rsid w:val="00B93B49"/>
    <w:rsid w:val="00BB2837"/>
    <w:rsid w:val="00BB6350"/>
    <w:rsid w:val="00BD338A"/>
    <w:rsid w:val="00BD3893"/>
    <w:rsid w:val="00BF3041"/>
    <w:rsid w:val="00BF7E33"/>
    <w:rsid w:val="00C253B3"/>
    <w:rsid w:val="00C309C4"/>
    <w:rsid w:val="00C46D82"/>
    <w:rsid w:val="00C4746C"/>
    <w:rsid w:val="00C52E2A"/>
    <w:rsid w:val="00C6103C"/>
    <w:rsid w:val="00C65129"/>
    <w:rsid w:val="00C73B8B"/>
    <w:rsid w:val="00C77A24"/>
    <w:rsid w:val="00C855F5"/>
    <w:rsid w:val="00C9090F"/>
    <w:rsid w:val="00C9592C"/>
    <w:rsid w:val="00C96CDF"/>
    <w:rsid w:val="00CA66FC"/>
    <w:rsid w:val="00CB701D"/>
    <w:rsid w:val="00CD17D3"/>
    <w:rsid w:val="00CD40E5"/>
    <w:rsid w:val="00CE0910"/>
    <w:rsid w:val="00CE4C35"/>
    <w:rsid w:val="00CE549D"/>
    <w:rsid w:val="00CF3B3F"/>
    <w:rsid w:val="00CF47A0"/>
    <w:rsid w:val="00D0073C"/>
    <w:rsid w:val="00D20108"/>
    <w:rsid w:val="00D2773C"/>
    <w:rsid w:val="00D34876"/>
    <w:rsid w:val="00D374B0"/>
    <w:rsid w:val="00D43FBB"/>
    <w:rsid w:val="00D933B9"/>
    <w:rsid w:val="00DA14A3"/>
    <w:rsid w:val="00DA5C15"/>
    <w:rsid w:val="00DF2B70"/>
    <w:rsid w:val="00DF4243"/>
    <w:rsid w:val="00E07185"/>
    <w:rsid w:val="00E1442A"/>
    <w:rsid w:val="00E16DA5"/>
    <w:rsid w:val="00E17E07"/>
    <w:rsid w:val="00E33C85"/>
    <w:rsid w:val="00E36082"/>
    <w:rsid w:val="00E3648C"/>
    <w:rsid w:val="00E530F9"/>
    <w:rsid w:val="00E671DD"/>
    <w:rsid w:val="00E6733B"/>
    <w:rsid w:val="00E7092F"/>
    <w:rsid w:val="00E76D33"/>
    <w:rsid w:val="00E82093"/>
    <w:rsid w:val="00E87F99"/>
    <w:rsid w:val="00E92BAF"/>
    <w:rsid w:val="00EA4C24"/>
    <w:rsid w:val="00EB48F0"/>
    <w:rsid w:val="00EC54D5"/>
    <w:rsid w:val="00EE0087"/>
    <w:rsid w:val="00EE6130"/>
    <w:rsid w:val="00F16800"/>
    <w:rsid w:val="00F1795D"/>
    <w:rsid w:val="00F357D0"/>
    <w:rsid w:val="00F44FAF"/>
    <w:rsid w:val="00F45658"/>
    <w:rsid w:val="00F51E9C"/>
    <w:rsid w:val="00FA59D1"/>
    <w:rsid w:val="00FA617C"/>
    <w:rsid w:val="00FB56E7"/>
    <w:rsid w:val="00FC0FC5"/>
    <w:rsid w:val="00FC6409"/>
    <w:rsid w:val="00FD59EC"/>
    <w:rsid w:val="00FF1A15"/>
    <w:rsid w:val="00FF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7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7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7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character" w:styleId="Pogrubienie">
    <w:name w:val="Strong"/>
    <w:uiPriority w:val="22"/>
    <w:qFormat/>
    <w:rsid w:val="00267944"/>
    <w:rPr>
      <w:b/>
      <w:bCs/>
    </w:rPr>
  </w:style>
  <w:style w:type="paragraph" w:customStyle="1" w:styleId="Default">
    <w:name w:val="Default"/>
    <w:rsid w:val="00A9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2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36F"/>
  </w:style>
  <w:style w:type="paragraph" w:styleId="Stopka">
    <w:name w:val="footer"/>
    <w:basedOn w:val="Normalny"/>
    <w:link w:val="StopkaZnak"/>
    <w:uiPriority w:val="99"/>
    <w:unhideWhenUsed/>
    <w:rsid w:val="0024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36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7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7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7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B72C-68FD-430C-8DF4-013A58D9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2877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7</cp:revision>
  <cp:lastPrinted>2017-07-26T10:04:00Z</cp:lastPrinted>
  <dcterms:created xsi:type="dcterms:W3CDTF">2017-07-25T11:49:00Z</dcterms:created>
  <dcterms:modified xsi:type="dcterms:W3CDTF">2017-07-26T10:05:00Z</dcterms:modified>
</cp:coreProperties>
</file>