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D59092D" Type="http://schemas.openxmlformats.org/officeDocument/2006/relationships/officeDocument" Target="/word/document.xml" /><Relationship Id="coreRD59092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8 do zarządzenia Nr 195/2020/DSOZ</w:t>
        <w:br w:type="textWrapping"/>
        <w:t>Prezesa Narodowego Funduszu Zdrowia</w:t>
        <w:br w:type="textWrapping"/>
        <w:t>z dnia 11 grudnia 2020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Karta leczenia żywieniowego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54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43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Nazwisko i imię pacjenta:</w:t>
            </w:r>
          </w:p>
        </w:tc>
        <w:tc>
          <w:tcPr>
            <w:tcW w:w="229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PESEL:</w:t>
            </w:r>
          </w:p>
        </w:tc>
        <w:tc>
          <w:tcPr>
            <w:tcW w:w="1815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</w:pPr>
            <w:r>
              <w:t>Wiek: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33"/>
        </w:trPr>
        <w:tc>
          <w:tcPr>
            <w:tcW w:w="10080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33"/>
        </w:trPr>
        <w:tc>
          <w:tcPr>
            <w:tcW w:w="301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I. </w:t>
            </w:r>
            <w:r>
              <w:t>Data</w:t>
            </w:r>
          </w:p>
        </w:tc>
        <w:tc>
          <w:tcPr>
            <w:tcW w:w="6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3"/>
        </w:trPr>
        <w:tc>
          <w:tcPr>
            <w:tcW w:w="3015" w:type="dxa"/>
            <w:gridSpan w:val="5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>Dieta przemysłowa* (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nazwa)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  <w:lang w:val="pl-PL" w:bidi="pl-PL" w:eastAsia="pl-PL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lub</w: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 Mieszanina żywieniowa gotowa (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nazwa)</w:t>
            </w: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>lub</w: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8"/>
                <w:u w:val="none" w:color="000000"/>
                <w:vertAlign w:val="baseline"/>
              </w:rPr>
              <w:t xml:space="preserve"> Worek indywidualny**</w:t>
            </w:r>
          </w:p>
        </w:tc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8"/>
        </w:trPr>
        <w:tc>
          <w:tcPr>
            <w:tcW w:w="24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/>
        </w:tc>
        <w:tc>
          <w:tcPr>
            <w:tcW w:w="180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</w:pPr>
            <w:r>
              <w:rPr>
                <w:sz w:val="14"/>
              </w:rPr>
              <w:t>**Aminokwasy (g)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8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**Glukoza (g)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28"/>
        </w:trPr>
        <w:tc>
          <w:tcPr>
            <w:tcW w:w="24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**Tłuszcze (g)</w:t>
            </w: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301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 xml:space="preserve">Objętość (ml) </w:t>
            </w:r>
          </w:p>
        </w:tc>
        <w:tc>
          <w:tcPr>
            <w:tcW w:w="6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301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Droga podawania pozajelitowego</w:t>
            </w:r>
          </w:p>
          <w:p>
            <w:pPr>
              <w:jc w:val="both"/>
            </w:pPr>
            <w:r>
              <w:rPr>
                <w:sz w:val="16"/>
              </w:rPr>
              <w:t>Żyła centralna/żyła obwodowa</w:t>
            </w:r>
          </w:p>
        </w:tc>
        <w:tc>
          <w:tcPr>
            <w:tcW w:w="6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301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Dostęp do przewodu pokarmowego</w:t>
            </w:r>
          </w:p>
          <w:p>
            <w:pPr>
              <w:jc w:val="both"/>
            </w:pPr>
            <w:r>
              <w:rPr>
                <w:sz w:val="16"/>
              </w:rPr>
              <w:t>(zgłębnik/gastrostomia/jejunostomia)</w:t>
            </w:r>
          </w:p>
        </w:tc>
        <w:tc>
          <w:tcPr>
            <w:tcW w:w="6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2"/>
        </w:trPr>
        <w:tc>
          <w:tcPr>
            <w:tcW w:w="301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Sposób podawania diety przemysłowej</w:t>
            </w:r>
          </w:p>
          <w:p>
            <w:pPr>
              <w:jc w:val="both"/>
            </w:pPr>
            <w:r>
              <w:rPr>
                <w:sz w:val="16"/>
              </w:rPr>
              <w:t>(bolus/wlew ciągły-szybkość)</w:t>
            </w:r>
          </w:p>
        </w:tc>
        <w:tc>
          <w:tcPr>
            <w:tcW w:w="6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327"/>
        </w:trPr>
        <w:tc>
          <w:tcPr>
            <w:tcW w:w="301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II. Dodatki - nazwa preparatu</w:t>
            </w:r>
          </w:p>
        </w:tc>
        <w:tc>
          <w:tcPr>
            <w:tcW w:w="7065" w:type="dxa"/>
            <w:gridSpan w:val="1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6"/>
              </w:rPr>
              <w:t>Dawka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5"/>
        </w:trPr>
        <w:tc>
          <w:tcPr>
            <w:tcW w:w="141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Witaminy</w:t>
            </w:r>
          </w:p>
        </w:tc>
        <w:tc>
          <w:tcPr>
            <w:tcW w:w="160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5"/>
        </w:trPr>
        <w:tc>
          <w:tcPr>
            <w:tcW w:w="141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Pierwiastki śladowe</w:t>
            </w:r>
          </w:p>
        </w:tc>
        <w:tc>
          <w:tcPr>
            <w:tcW w:w="160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6"/>
        </w:trPr>
        <w:tc>
          <w:tcPr>
            <w:tcW w:w="141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Sód</w:t>
            </w:r>
          </w:p>
        </w:tc>
        <w:tc>
          <w:tcPr>
            <w:tcW w:w="160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6"/>
        </w:trPr>
        <w:tc>
          <w:tcPr>
            <w:tcW w:w="141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Fosforany</w:t>
            </w:r>
          </w:p>
        </w:tc>
        <w:tc>
          <w:tcPr>
            <w:tcW w:w="160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2"/>
        </w:trPr>
        <w:tc>
          <w:tcPr>
            <w:tcW w:w="141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Magnez</w:t>
            </w:r>
          </w:p>
        </w:tc>
        <w:tc>
          <w:tcPr>
            <w:tcW w:w="160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9"/>
        </w:trPr>
        <w:tc>
          <w:tcPr>
            <w:tcW w:w="141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Wapń</w:t>
            </w:r>
          </w:p>
        </w:tc>
        <w:tc>
          <w:tcPr>
            <w:tcW w:w="160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11"/>
        </w:trPr>
        <w:tc>
          <w:tcPr>
            <w:tcW w:w="141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Potas</w:t>
            </w:r>
          </w:p>
        </w:tc>
        <w:tc>
          <w:tcPr>
            <w:tcW w:w="160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0"/>
        </w:trPr>
        <w:tc>
          <w:tcPr>
            <w:tcW w:w="141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Witamina B1</w:t>
            </w:r>
          </w:p>
        </w:tc>
        <w:tc>
          <w:tcPr>
            <w:tcW w:w="160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3"/>
        </w:trPr>
        <w:tc>
          <w:tcPr>
            <w:tcW w:w="1410" w:type="dxa"/>
            <w:gridSpan w:val="3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Inne</w:t>
            </w:r>
          </w:p>
        </w:tc>
        <w:tc>
          <w:tcPr>
            <w:tcW w:w="160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exact" w:val="510"/>
        </w:trPr>
        <w:tc>
          <w:tcPr>
            <w:tcW w:w="141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Insulina jedn.</w:t>
            </w:r>
          </w:p>
        </w:tc>
        <w:tc>
          <w:tcPr>
            <w:tcW w:w="16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4"/>
        </w:trPr>
        <w:tc>
          <w:tcPr>
            <w:tcW w:w="301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6"/>
              </w:rPr>
              <w:t xml:space="preserve">nadruk lub pieczątka zawierająca imię </w:t>
            </w:r>
          </w:p>
          <w:p>
            <w:pPr>
              <w:jc w:val="center"/>
            </w:pPr>
            <w:r>
              <w:rPr>
                <w:i w:val="1"/>
                <w:sz w:val="16"/>
              </w:rPr>
              <w:t>i nazwisko lekarza, numer prawa wykonywania zawodu oraz jego podpis</w:t>
            </w:r>
          </w:p>
        </w:tc>
        <w:tc>
          <w:tcPr>
            <w:tcW w:w="6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5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* brak konieczności wypełniania II części tabeli w przypadku braku dodatków do diety przemysłowej **w przypadku dołączenia recepty na worek indywidualny – brak konieczności wypełniania II części tabeli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17"/>
        </w:trPr>
        <w:tc>
          <w:tcPr>
            <w:tcW w:w="11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</w:t>
            </w:r>
          </w:p>
        </w:tc>
        <w:tc>
          <w:tcPr>
            <w:tcW w:w="12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 xml:space="preserve">Nazwa badania </w:t>
            </w:r>
          </w:p>
        </w:tc>
        <w:tc>
          <w:tcPr>
            <w:tcW w:w="768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11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114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6"/>
                <w:u w:val="none"/>
                <w:vertAlign w:val="baseline"/>
              </w:rPr>
              <w:t xml:space="preserve">Podstawowe badania kontrolne </w:t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t>***</w: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6"/>
                <w:u w:val="none" w:color="000000"/>
                <w:vertAlign w:val="baseline"/>
              </w:rPr>
              <w:br w:type="textWrapping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12"/>
                <w:u w:val="none" w:color="000000"/>
                <w:vertAlign w:val="baseline"/>
              </w:rPr>
              <w:t>zaznaczyć wykonanie (+/-)</w:t>
            </w:r>
          </w:p>
        </w:tc>
        <w:tc>
          <w:tcPr>
            <w:tcW w:w="12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0"/>
              </w:rPr>
              <w:t>Białko całkowite/Albumina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11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0"/>
              </w:rPr>
              <w:t>Cholesterol całk/Trójglicerydy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11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0"/>
              </w:rPr>
              <w:t>WBC/RBC/Hb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11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0"/>
              </w:rPr>
              <w:t>Na mmol/ K mmol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11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0"/>
              </w:rPr>
              <w:t>Ca mmol/Mg/Pi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11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0"/>
              </w:rPr>
              <w:t>Bilirubina/AspAt/AlAt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11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0"/>
              </w:rPr>
              <w:t xml:space="preserve"> Kreatynina/mocznik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11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0"/>
              </w:rPr>
              <w:t>Glikemia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11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0"/>
              </w:rPr>
              <w:t>Inne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114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0"/>
              </w:rPr>
              <w:t>Bilans Ng/ 24h</w:t>
            </w:r>
          </w:p>
        </w:tc>
        <w:tc>
          <w:tcPr>
            <w:tcW w:w="94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***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wyniki badań laboratoryjnych należy dołączyć do historii choroby 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2022-10-28T10:18:35Z</dcterms:created>
  <cp:lastModifiedBy>Kociubowska Ewa</cp:lastModifiedBy>
  <dcterms:modified xsi:type="dcterms:W3CDTF">2022-11-02T11:02:46Z</dcterms:modified>
  <cp:revision>36</cp:revision>
  <dc:subject>w sprawie określenia warunków zawierania i realizacji umów w rodzajach rehabilitacja lecznicza oraz programy zdrowotne w zakresie świadczeń - leczenie dzieci i dorosłych ze śpiączką</dc:subject>
  <dc:title>Zarządzenie Nr 195/2020/DSOZ z dnia 11 grudnia 2020 r.</dc:title>
</cp:coreProperties>
</file>