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B58D430" Type="http://schemas.openxmlformats.org/officeDocument/2006/relationships/officeDocument" Target="/word/document.xml" /><Relationship Id="coreR3B58D43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 4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Wniosek w sprawie zmiany rachunku bankowego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  <w:lang w:val="pl-PL" w:bidi="pl-PL" w:eastAsia="pl-PL"/>
              </w:rPr>
              <w:t>Miejscowość............................................... Data.........................</w:t>
            </w: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4"/>
              </w:rPr>
              <w:t>(źródło – Portal Świadczeniodawcy)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2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45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2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45" w:type="dxa"/>
            <w:gridSpan w:val="10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2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45" w:type="dxa"/>
            <w:gridSpan w:val="10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2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numer </w:t>
            </w:r>
          </w:p>
        </w:tc>
        <w:tc>
          <w:tcPr>
            <w:tcW w:w="1200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w rodzaju </w:t>
            </w:r>
          </w:p>
        </w:tc>
        <w:tc>
          <w:tcPr>
            <w:tcW w:w="1200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w zakresie</w:t>
            </w:r>
          </w:p>
        </w:tc>
        <w:tc>
          <w:tcPr>
            <w:tcW w:w="1200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2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na okres </w:t>
            </w:r>
          </w:p>
        </w:tc>
        <w:tc>
          <w:tcPr>
            <w:tcW w:w="1200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2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1200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2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Dane posiadacza rachunku bankowego:  </w:t>
            </w:r>
          </w:p>
        </w:tc>
        <w:tc>
          <w:tcPr>
            <w:tcW w:w="1200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2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2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745" w:type="dxa"/>
            <w:gridSpan w:val="10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4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Świadczeniodawca* </w:t>
            </w:r>
          </w:p>
        </w:tc>
        <w:tc>
          <w:tcPr>
            <w:tcW w:w="83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…………………………………………………………….…………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2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5015" w:type="dxa"/>
            <w:gridSpan w:val="11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 pieczęć/nadruk/naklejka świadczeniodawcy, zawierające nazwę, adres, NIP, REGON - wraz z podpisem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2022-10-21T11:58:10Z</dcterms:created>
  <cp:lastModifiedBy>Kociubowska Ewa</cp:lastModifiedBy>
  <dcterms:modified xsi:type="dcterms:W3CDTF">2022-11-02T11:02:46Z</dcterms:modified>
  <cp:revision>102</cp:revision>
  <dc:subject>w sprawie ogłoszenia jednolitego tekstu zarządzenia w sprawie określenia warunków zawierania i realizacji umów w rodzajach rehabilitacja lecznicza oraz programy zdrowotne w zakresie świadczeń - leczenie dzieci i dorosłych ze śpiączką</dc:subject>
  <dc:title>Zarządzenie</dc:title>
</cp:coreProperties>
</file>