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58D430" Type="http://schemas.openxmlformats.org/officeDocument/2006/relationships/officeDocument" Target="/word/document.xml" /><Relationship Id="coreR3B58D43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195/2020/DSOZ</w:t>
        <w:br w:type="textWrapping"/>
        <w:t>Prezesa Narodowego Funduszu Zdrowia</w:t>
        <w:br w:type="textWrapping"/>
        <w:t>z dnia 11 grudnia 2020 r.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"fnote://A5BD962D-9C13-474E-89C3-EC16B68FD3F1"</w:instrText>
      </w:r>
      <w:r>
        <w:rPr>
          <w:rFonts w:ascii="Times New Roman" w:hAnsi="Times New Roman"/>
          <w:sz w:val="22"/>
        </w:rPr>
        <w:fldChar w:fldCharType="separate"/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Ocena ciężkości stanu klinicznego pacjenta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855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lp</w:t>
            </w:r>
          </w:p>
        </w:tc>
        <w:tc>
          <w:tcPr>
            <w:tcW w:w="198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kod grupy</w:t>
            </w:r>
          </w:p>
        </w:tc>
        <w:tc>
          <w:tcPr>
            <w:tcW w:w="12180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Ocena ciężkości stanu klinicznego pacjenta/warunki rozliczania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85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8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  <w:sz w:val="28"/>
              </w:rPr>
              <w:t>2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8"/>
              </w:rPr>
              <w:t>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RNM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8"/>
              </w:rPr>
              <w:t> Ocena czynności dnia codziennego wg skali Barthel ADL index (załącznik nr 4a) oraz ocena funkcji poznawczo -behawioralnych oraz zaburzeń czynności mowy oraz połykania po nabytych uszkodzeniach mózgu wg załączonej skali (załącznik nr 4b).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1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8"/>
              </w:rPr>
              <w:t> RNMS01 RNMZ01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8"/>
                <w:u w:val="none"/>
                <w:vertAlign w:val="baseline"/>
              </w:rPr>
              <w:t>1. Czynności dnia codziennego wg skali Barthel ADL index - stan pacjenta bardzo ciężki i średnio ciężki; liczba punktów poniżej 15 lub</w:t>
              <w:br w:type="textWrapping"/>
              <w:t>2. Zaburzone funkcje poznawcze -  stan pacjenta ciężki i średnio ciężki; ocena 4 przynajmniej w jednym rodzaju dysfunkcji.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2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RNMS02 RNMZ02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skali Barthel ADL index - stan pacjenta bardzo ciężki i średnio ciężki; liczba punktów poniżej 15 lub</w:t>
              <w:br w:type="textWrapping"/>
              <w:t>2. Zaburzone funkcje poznawcze -  stan pacjenta ciężki i średnio ciężki; ocena 4 przynajmniej w jednym rodzaju dysfunkcji.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3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RNMS03 RNMZ03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skali Barthel ADL index - stan pacjenta umiarkowany i lekki; liczba punktów powyżej 14 i</w:t>
              <w:br w:type="textWrapping"/>
              <w:t>2. Zaburzone funkcje poznawcze - stan pacjenta umiarkowany i lekki; ocena 1-3 przynajmniej w jednym rodzaju dysfunkcji.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RNMS04 RNMZ04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skali Barthel ADL index - stan pacjenta umiarkowany i lekki; liczba punktów powyżej 14 i</w:t>
              <w:br w:type="textWrapping"/>
              <w:t>2. Zaburzone funkcje poznawcze - stan pacjenta umiarkowany i lekki; ocena 1-3 przynajmniej w jednym rodzaju dysfunkcji.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835" w:type="dxa"/>
            <w:gridSpan w:val="2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RNR i RNO</w:t>
            </w:r>
          </w:p>
        </w:tc>
        <w:tc>
          <w:tcPr>
            <w:tcW w:w="121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Ocena czynności dnia codziennego wg skali Barthel ADL index (załącznik nr 4a)  oraz ocena funkcjonalna wg skali ASIA (American Spinal Injury Association) (załącznik nr 4c).                                                                                        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5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RNRS01 RNRZ01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skali Barthel ADL index - stan pacjenta bardzo ciężki i średnio ciężki; liczba punktów poniżej 15 lub</w:t>
              <w:br w:type="textWrapping"/>
              <w:t>2. Stan neurologiczny w skali ASIA - poniżej 51 pkt.  w motorycznej ocenie siły mięśniowej.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6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 RNRS02 RNRZ02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Barthel ADL index - stan pacjenta bardzo ciężki i średnio ciężki; liczba punktów poniżej 15 lub</w:t>
              <w:br w:type="textWrapping"/>
              <w:t>2. Stan neurologiczny w skali ASIA - poniżej 51 pkt.  w motorycznej ocenie siły mięśniowej.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7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RNRS03 RNRZ03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Barthel ADL index - stan pacjenta umiarkowany i lekki; liczba punktów  powyżej 14 i</w:t>
              <w:br w:type="textWrapping"/>
              <w:t>2. Stan neurologiczny w skali ASIA powyżej 50 pkt. w motorycznej ocenie siły mięśniowej.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8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RNRS04 RNRZ04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Barthel ADL index - stan pacjenta umiarkowany i lekki; liczba punktów  powyżej 14 i</w:t>
              <w:br w:type="textWrapping"/>
              <w:t>2. Stan neurologiczny w skali ASIA powyżej 50 pkt. w motorycznej ocenie siły mięśniowej.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9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9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RNOS01 RNOZ01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1.Czynności dnia codziennego wg Barthel ADL index - stan pacjenta bardzo ciężki i średnio ciężki; liczba punktów poniżej 15 lub</w:t>
              <w:br w:type="textWrapping"/>
              <w:t>2. Stan neurologiczny w skali ASIA poniżej 51 pkt. w motorycznej ocenie siły mięśniowej.                           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10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RNOS02 RNOZ02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1.Czynności dnia codziennego wg Barthel ADL index - stan pacjenta umiarkowany i lekki; liczba punktów powyżej 14 i</w:t>
              <w:br w:type="textWrapping"/>
              <w:t>2. Stan neurologiczny w skali ASIA powyżej 50 pkt. w motorycznej ocenie siły mięśniowej.                                                                                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RNP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RNPS01 RNPZ01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RND</w:t>
            </w:r>
          </w:p>
        </w:tc>
        <w:tc>
          <w:tcPr>
            <w:tcW w:w="121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Ocena głębokości niepełnosprawności  wg GMFCS (Gross Motor Function Classification System for Cerebral Palsy) (załącznik nr 4d) oraz ocena zaburzeń znacząco zwiększających wymagania rehabilitacyjne/pielęgnacyjne dotyczące rehabilitacji neurologicznej dzieci (załącznik nr 4e)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70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12</w:t>
            </w:r>
          </w:p>
        </w:tc>
        <w:tc>
          <w:tcPr>
            <w:tcW w:w="1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RNDS01 RNDZ01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wiek poniżej 2 lat i GMFCS I-V, wiek od 2 lat do poniżej 4 lat i GMFCS II-V lub wiek od 4 lat do poniżej 6 lat i GMFCS II-V lub wiek od 6 lat do poniżej 18 lat i GMFCS II- V lub</w:t>
              <w:br w:type="textWrapping"/>
              <w:t> wiek od 0 lat do poniżej 18 lat i GMFCS I-V  po wypisie z ośrodka leczenia ostrej fazy choroby z rozpoznaniami zasadniczymi:G09, G81-G83, I69, T90.5  i współistniejącymi: G61, G91-97, I60-I64, S12-S14, S34, T08-T09 , a nastepnie rehabilitowani i rozliczani w grupie RND03 ( którzy rokują uzyskanie funkcjonalnej korzyści z kontynuacji rehabilitacji w warunkach stacjonarnych) lub trybie dziennym</w:t>
              <w:br w:type="textWrapping"/>
              <w:t xml:space="preserve">oraz jednego z wymienionych w ciężkim stopniu nasilenia - 4 -  zaburzeń znacząco zwiększających wymagania rehabilitacyjne/ pielęgnacyjne dotyczące rehabilitacji neurologicznej dzieci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7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13</w:t>
            </w:r>
          </w:p>
        </w:tc>
        <w:tc>
          <w:tcPr>
            <w:tcW w:w="19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RNDS02 RNDZ02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wiek od 2 lat do poniżej 4 lat i GMFCS II-V lub wiek od 4 lat do poniżej 6 lat i GMFCS II-IV lub wiek od 6 lat do poniżej 12 lat i GMFCS II-III</w:t>
              <w:br w:type="textWrapping"/>
              <w:t>lub wiek od 0 lat do poniżej 18 lat i GMFCS I-V  po wypisie z ośrodka leczenia ostrej fazy choroby z rozpoznaniami zasadniczymi:G09, G81-G83, I69, T90.5  i współistniejącymi: G61, G91-97, I60-I64, S12-S14, S34, T08-T09 , a nastepnie rehabilitowani i rozliczani w grupie RND03 (którzy rokują uzyskanie funkcjonalnej korzyści z kontynuacji rehabilitacji w warunkach stacjonarnych) lub trybie dziennym.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14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RNDS03 RNDZ03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 xml:space="preserve">wiek od 2 lat do poniżej 4 lat i GMFCS I lub wiek od 4 lat do poniżej 6 lat i GMFCS I lub V lub wiek od 6 lat do poniżej 12 lat i GMFCS I,IV lub V lub wiek od 12 lat do poniżej 18 lat i GMFCS I-V </w:t>
              <w:br w:type="textWrapping"/>
              <w:t xml:space="preserve">lub </w:t>
              <w:br w:type="textWrapping"/>
              <w:t>wiek od 0 lat do poniżej 18 lat i GMFCS I-V  po przebytej rehabilitacji w grupie RND01 lub RND02 (po wypisie z ośrodka leczenia ostrej fazy choroby) z rozpoznaniami zasadniczymi:G09, G81-G83, I69, T90.5  i współistniejącymi: G61, G91-97, I60-I64, S12-S14, S34, T08-T09.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ROC</w:t>
            </w:r>
          </w:p>
        </w:tc>
        <w:tc>
          <w:tcPr>
            <w:tcW w:w="121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 Ocena czynności dnia codziennego wg skali Barthel ADL index (załącznik nr 4a) oraz ocena w skali Rankina (zgodnie z załacznikiem nr 2 do rozporządzenie MZ w sparwie świadczeń gwarantowanych z zakresu rehabilitacji leczniczej)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30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15</w:t>
            </w:r>
          </w:p>
        </w:tc>
        <w:tc>
          <w:tcPr>
            <w:tcW w:w="198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ROC01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1. Czynności dnia codziennego wg skali Barthel ADL index - stan pacjenta bardzo ciężki i średnio ciężki; liczba punktów poniżej 15 i</w:t>
              <w:br w:type="textWrapping"/>
              <w:t>2. Skala Rankina - 4 lub 5</w:t>
              <w:br w:type="textWrapping"/>
              <w:t>lub</w:t>
              <w:br w:type="textWrapping"/>
              <w:t>1. Oparzenia II st. ekstremalne i ciężkie termicznie, chemiczne i elektryczne - powyżej 25% powierzchni ciała u dorosłych, lub</w:t>
              <w:br w:type="textWrapping"/>
              <w:t>2. Oparzenia II st. ekstremalne i ciężkie termicznie, chemiczne i elektryczne - powyżej 20% powierzchni ciała u dzieci, lub</w:t>
              <w:br w:type="textWrapping"/>
              <w:t>3. Oparzenia III st. ekstremalne i ciężkie termicznie, chemiczne i elektryczne - powyżej 10% powierzchni ciała niezaleznie od wieku oraz skala Barthel liczba punktów poniżej 15  i skala Rankina - 4 lub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ROO</w:t>
            </w:r>
          </w:p>
        </w:tc>
        <w:tc>
          <w:tcPr>
            <w:tcW w:w="121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 xml:space="preserve">Stan po zabiegu operacyjnym </w:t>
            </w:r>
            <w:r>
              <w:rPr>
                <w:b w:val="1"/>
                <w:sz w:val="28"/>
                <w:lang w:val="pl-PL" w:bidi="pl-PL" w:eastAsia="pl-PL"/>
              </w:rPr>
              <w:t xml:space="preserve">z </w:t>
            </w:r>
            <w:r>
              <w:rPr>
                <w:b w:val="1"/>
                <w:sz w:val="28"/>
              </w:rPr>
              <w:t>opisanym</w:t>
            </w:r>
            <w:r>
              <w:rPr>
                <w:b w:val="1"/>
                <w:sz w:val="28"/>
                <w:lang w:val="pl-PL" w:bidi="pl-PL" w:eastAsia="pl-PL"/>
              </w:rPr>
              <w:t>i</w:t>
            </w:r>
            <w:r>
              <w:rPr>
                <w:b w:val="1"/>
                <w:sz w:val="28"/>
              </w:rPr>
              <w:t xml:space="preserve"> procedurami medycznymi ICD-9 (zgodnie z załącznikiem nr 3a)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16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ROO01</w:t>
            </w:r>
          </w:p>
        </w:tc>
        <w:tc>
          <w:tcPr>
            <w:tcW w:w="121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Rozliczenie następuje w przypadku rozpoczęcia rehabilitacji w terminie do 6 miesięcy od zakończenia hospitalizacji podczas której wykonano zabieg wskazany w załączniku nr 3a (w innym przypadku rozliczenie następuje zgodnie z grupami ROP)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17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ROO02</w:t>
            </w:r>
          </w:p>
        </w:tc>
        <w:tc>
          <w:tcPr>
            <w:tcW w:w="121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18</w:t>
            </w:r>
          </w:p>
        </w:tc>
        <w:tc>
          <w:tcPr>
            <w:tcW w:w="198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ROO03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Rozliczenie następuje w przypadku rozpoczęcia rehabilitacji w terminie do 6 miesięcy od zakończenia hospitalizacji, podczas której wykonano zabieg wskazany w załączniku nr 3a (w innym przypadku rozliczenie następuje zgodnie z grupami ROP lub pozostałymi ROO)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ROZ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Stan po leczeniu zachowawczym w rodzaju leczenie szpitalne z rozpoznaniami ICD-10 (zgodnie z załacznikiem nr 3b) lub wiek &lt;18 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19</w:t>
            </w:r>
          </w:p>
        </w:tc>
        <w:tc>
          <w:tcPr>
            <w:tcW w:w="1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ROZS01 ROZZ01</w:t>
            </w:r>
          </w:p>
        </w:tc>
        <w:tc>
          <w:tcPr>
            <w:tcW w:w="121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 Rozliczenie następuje w przypadku rozpoczęcia rehabilitacji w terminie do 6 miesięcy od zakończenia hospitalizacji, zakończonej wypisem z rozpoznaniem wskazanym w załączniku nr 3b (w innym przypadku rozliczenie następuje zgodnie z grupami ROP)</w:t>
              <w:br w:type="textWrapping"/>
              <w:t>  - nie dotyczy rehabilitacji osób &lt; 18 lat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85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20</w:t>
            </w:r>
          </w:p>
        </w:tc>
        <w:tc>
          <w:tcPr>
            <w:tcW w:w="19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ROZS02 ROZZ02</w:t>
            </w:r>
          </w:p>
        </w:tc>
        <w:tc>
          <w:tcPr>
            <w:tcW w:w="121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8"/>
              </w:rPr>
              <w:t>ROP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21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ROPS01</w:t>
              <w:br w:type="textWrapping"/>
              <w:t>ROPZ01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8"/>
              </w:rPr>
              <w:t>ROD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22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RODRS01</w:t>
              <w:br w:type="textWrapping"/>
              <w:t>RODRZ01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83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  <w:sz w:val="28"/>
              </w:rPr>
              <w:t>RON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brak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8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8"/>
              </w:rPr>
              <w:t>23</w:t>
            </w:r>
          </w:p>
        </w:tc>
        <w:tc>
          <w:tcPr>
            <w:tcW w:w="19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8"/>
                <w:u w:val="none" w:color="000000"/>
                <w:vertAlign w:val="baseline"/>
              </w:rPr>
              <w:t>RONS01</w:t>
              <w:br w:type="textWrapping"/>
              <w:t>RONZ01</w:t>
            </w:r>
          </w:p>
        </w:tc>
        <w:tc>
          <w:tcPr>
            <w:tcW w:w="121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8"/>
              </w:rPr>
              <w:t>Rozliczenie następuje w przypadku rozpoczęcia rehabilitacji w terminie do 12 miesięcy od zakończenia hospitalizacji, podczas której była leczona ostra faza choroby, oraz pacjent nie odbył wczesnej rehabilitacji neurologicznej rozliczonej grupami: RNM, RNR, RNO.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2022-10-26T11:49:04Z</dcterms:created>
  <cp:lastModifiedBy>Kociubowska Ewa</cp:lastModifiedBy>
  <dcterms:modified xsi:type="dcterms:W3CDTF">2022-11-02T11:02:46Z</dcterms:modified>
  <cp:revision>72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