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C6989" Type="http://schemas.openxmlformats.org/officeDocument/2006/relationships/officeDocument" Target="/word/document.xml" /><Relationship Id="coreR16C698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dermatologii i wenerologii lub chorób płuc lub nefrologii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i 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chorobą śródmiąższową płuc (ICD-10: D86, J67.0-J67.9, J84.1, J84.8, J84.9, J99.0, J.99.1, M34)</w:t>
            </w:r>
          </w:p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chorobą śródmiąższową płuc (ICD-10: D86, J67.0-J67.9, J84.1, J84.8, J84.9, J99.0, J.99.1, M34)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TKWR potwierdzający rozpoznanie choroby śródmiąższowej płuc: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wydolności narządowej określona na podstawie wyników badań: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Wykluczenie ciąży i karmienia piersią oraz zgoda na prowadzenia antykoncepcji zgodnie z ChPL:………….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1. </w:t>
            </w:r>
            <w:r>
              <w:rPr>
                <w:sz w:val="24"/>
              </w:rPr>
              <w:t>FVC ≥ 40% wartości należnej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pojemność dyfuzyjna płuc TLco powyżej 30% wartości należnej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jedno z poniższych szczegółowych kryteriów kwalifikacji do PF-ILD: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o typie włóknienia w badaniu TKWR zajmują co najmniej 10% objętości płuc oraz udokumentowano w okresie ostatnich 24 m-cy:</w:t>
            </w:r>
          </w:p>
          <w:p>
            <w:pPr>
              <w:jc w:val="left"/>
            </w:pPr>
            <w:r>
              <w:t xml:space="preserve">– spadek wartości FVC o co najmniej 10%, lub </w:t>
            </w:r>
          </w:p>
          <w:p>
            <w:pPr>
              <w:jc w:val="left"/>
            </w:pPr>
            <w:r>
              <w:t>– spadek wartości FVC o co najmniej 5% oraz spadek wartości TLCO o co najmniej 15%, lub</w:t>
            </w:r>
          </w:p>
          <w:p>
            <w:pPr>
              <w:jc w:val="left"/>
            </w:pPr>
            <w:r>
              <w:t>– spadek wartości FVC o co najmniej 5% oraz progresję włóknienia płuc w badaniu TKWR, lub</w:t>
            </w:r>
          </w:p>
          <w:p>
            <w:pPr>
              <w:jc w:val="left"/>
            </w:pPr>
            <w:r>
              <w:t xml:space="preserve">– spadek wartości FVC o co najmniej 5% oraz nasilenie objawów klinicznych, lub </w:t>
            </w:r>
          </w:p>
          <w:p>
            <w:pPr>
              <w:jc w:val="left"/>
            </w:pPr>
            <w:r>
              <w:t>– progresję włóknienia płuc w badaniu TKWR oraz nasilenie objawów klinicznych,</w:t>
            </w:r>
          </w:p>
          <w:p>
            <w:pPr>
              <w:jc w:val="left"/>
            </w:pPr>
            <w:r>
              <w:t>Mimo stosowania rekomendowanego leczenia;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o typie włóknienia w badaniu TKWR zajmują co najmniej 10% objętości płuc oraz wartość FVC stanowi &lt; 70% wartości należnej;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zmiany o typie włóknienia w badaniu TKWR zajmują co najmniej 20% objętości płuc.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chorobą śródmiąższową płuc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Nintedanib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 chorobą śródmiąższową płuc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nintedanibem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3. Wzory dokumentów niezbędnych dla kwalifikacji pacjenta do leczenia w programie lekowym Leczenie chorych z toczniem rumieniowatym układowym (TRU, SLE) (ICD-10: M32)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chorych z toczniem rumieniowatym układowym (TRU, SLE) (ICD-10: M32)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na podstawie obowiązujących kryteriów klasyfikacyjnych EULAR/ACR: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Wykluczenie ciąży i karmienia piersią oraz zgoda na prowadzenia antykoncepcji zgodnie z ChPL:………….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1. </w:t>
            </w:r>
            <w:r>
              <w:rPr>
                <w:sz w:val="24"/>
              </w:rPr>
              <w:t>wartość SELDAI-2K ≥ 6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wartość klinicznego SELDAI-2K ≥ 4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ocena stopnia aktywności choroby w skali BILAG-2004 ≥ 1 A lub ≥ 2 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wartość ogólnej oceny aktywności choroby przez lekarza w skali 0-3 (PGA) ˃ 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6.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7. brak przeciwskazań do stosowania anifrolumabu 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toczniem rumieniowatym układowym (TRU, SLE)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Anifrolumab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Podpis Przewodniczącego Zespołu Koordynacyjnego ds. Leczenia Biologicznego </w:t>
              <w:br w:type="textWrapping"/>
              <w:t>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3.1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toczniem rumieniowatym układowym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anifrolumabem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2023-11-17T11:51:44Z</dcterms:created>
  <cp:lastModifiedBy>Michalak Alicja</cp:lastModifiedBy>
  <dcterms:modified xsi:type="dcterms:W3CDTF">2023-11-30T12:40:40Z</dcterms:modified>
  <cp:revision>191</cp:revision>
  <dc:subject>w sprawie określenia warunków zawierania i realizacji umów w rodzaju leczenie szpitalne w zakresie programy lekowe</dc:subject>
  <dc:title>Zarządzenie</dc:title>
</cp:coreProperties>
</file>