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60B19BF" Type="http://schemas.openxmlformats.org/officeDocument/2006/relationships/officeDocument" Target="/word/document.xml" /><Relationship Id="coreR760B19B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32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programie lekowym Leczenie pacjentów ze spektrum zapalenia nerwów wzrokowych i rdzenia kręgowego (NMOSD)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168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rPr>
          <w:wBefore w:w="0" w:type="dxa"/>
          <w:trHeight w:hRule="atLeast" w:val="16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kwalifikacja do leczenia w programie lekowym Leczenie pacjentów ze spektrum zapalenia nerwów wzrokowych i rdzenia kręgowego (NMOSD)</w:t>
            </w:r>
          </w:p>
        </w:tc>
      </w:tr>
      <w:tr>
        <w:trPr>
          <w:wBefore w:w="0" w:type="dxa"/>
          <w:trHeight w:hRule="atLeast" w:val="16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Leczenie pacjentów ze spektrum zapalenia nerwów wzrokowych i rdzenia kręgowego (NMOSD)</w:t>
            </w:r>
          </w:p>
        </w:tc>
      </w:tr>
      <w:tr>
        <w:trPr>
          <w:wBefore w:w="0" w:type="dxa"/>
          <w:trHeight w:hRule="atLeast" w:val="437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G36.0 – Zapalenie rdzenia kręgowego i nerwów wzrokowych [zespół Devica]</w:t>
            </w:r>
          </w:p>
        </w:tc>
      </w:tr>
      <w:tr>
        <w:trPr>
          <w:wBefore w:w="0" w:type="dxa"/>
          <w:trHeight w:hRule="atLeast" w:val="16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>
        <w:trPr>
          <w:wBefore w:w="0" w:type="dxa"/>
          <w:trHeight w:hRule="atLeast" w:val="581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Zespół Koordynacyjny ds. Leczenia Pacjentów ze Spektrum Zapalenia Nerwów Wzrokowych i Rdzenia Kręgowego</w:t>
            </w:r>
          </w:p>
        </w:tc>
      </w:tr>
      <w:tr>
        <w:trPr>
          <w:wBefore w:w="0" w:type="dxa"/>
          <w:trHeight w:hRule="atLeast" w:val="581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Uniwersyteckie Centrum Kliniczne Warszawskiego Uniwersytetu Medycznego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02-097 Warszawa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ul. Banacha 1A</w:t>
            </w:r>
          </w:p>
        </w:tc>
      </w:tr>
      <w:tr>
        <w:trPr>
          <w:wBefore w:w="0" w:type="dxa"/>
          <w:trHeight w:hRule="atLeast" w:val="545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lekarze specjaliści w dziedzinie neurologii oraz neurologii dziecięcej</w:t>
            </w:r>
          </w:p>
        </w:tc>
      </w:tr>
      <w:tr>
        <w:trPr>
          <w:wBefore w:w="0" w:type="dxa"/>
          <w:trHeight w:hRule="atLeast" w:val="794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t xml:space="preserve">1)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left"/>
            </w:pPr>
            <w:r>
              <w:t xml:space="preserve">2) </w:t>
            </w:r>
            <w:r>
              <w:rPr>
                <w:sz w:val="20"/>
              </w:rPr>
              <w:t>kwalifikacja lub weryfikacja skuteczności leczenia dokonywana jest w oparciu o wnioski przedłożone za pośrednictwem elektronicznego systemu monitorowania programów lekowych</w:t>
            </w:r>
            <w:r>
              <w:rPr>
                <w:sz w:val="20"/>
                <w:lang w:val="pl-PL" w:bidi="pl-PL" w:eastAsia="pl-PL"/>
              </w:rPr>
              <w:t xml:space="preserve"> lub </w:t>
            </w:r>
            <w:r>
              <w:rPr>
                <w:sz w:val="20"/>
              </w:rPr>
              <w:t>w oparciu o dokumenty, których wzór został określony w pkt 2.</w:t>
            </w:r>
          </w:p>
        </w:tc>
      </w:tr>
      <w:tr>
        <w:trPr>
          <w:wBefore w:w="0" w:type="dxa"/>
          <w:trHeight w:hRule="atLeast" w:val="55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r>
        <w:br w:type="page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1008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r>
              <w:rPr>
                <w:b w:val="1"/>
              </w:rPr>
              <w:t>2. Wzory dokumentów niezbędnych dla kwalifikacji pacjenta do leczenia w programie lekowym Leczenie pacjentów ze spektrum zapalenia nerwów wzrokowych i rdzenia kręgowego (NMOSD)</w:t>
            </w: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>
      <w:pPr>
        <w:spacing w:before="120" w:after="120" w:beforeAutospacing="0" w:afterAutospacing="0"/>
        <w:jc w:val="center"/>
        <w:rPr>
          <w:b w:val="1"/>
        </w:rPr>
      </w:pPr>
      <w:r>
        <w:rPr>
          <w:b w:val="1"/>
        </w:rPr>
        <w:t>Wniosek o zakwalifikowanie pacjenta do leczenia w programie lekowym Leczenie pacjentów ze spektrum zapalenia nerwów wzrokowych i rdzenia kręgowego (NMOSD)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</w:rPr>
        <w:tab/>
        <w:t>Dane personalne pacjenta i nazwa jednostki kierującej: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gridAfter w:val="1"/>
          <w:wBefore w:w="0" w:type="dxa"/>
          <w:wAfter w:w="735" w:type="dxa"/>
          <w:trHeight w:hRule="atLeast" w:val="540"/>
        </w:trPr>
        <w:tc>
          <w:tcPr>
            <w:tcW w:w="495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Imię i nazwisko</w:t>
            </w:r>
          </w:p>
        </w:tc>
        <w:tc>
          <w:tcPr>
            <w:tcW w:w="4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PESEL</w:t>
            </w:r>
          </w:p>
        </w:tc>
      </w:tr>
      <w:tr>
        <w:trPr>
          <w:wBefore w:w="0" w:type="dxa"/>
        </w:trPr>
        <w:tc>
          <w:tcPr>
            <w:tcW w:w="23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61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80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3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61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80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Data wystawienia wniosku: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Świadczeniodawca wystawiający wniosek: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Dane do kwalifikacji: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Wiek pacjenta: 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Wynik badania MRI potwierdzający rozpoznanie NMOSD: 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Wynik badania potwierdzający obecność przeciwciał anty-AQP4: 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Ocena stanu neurologicznego z określeniem EDSS: 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gridAfter w:val="2"/>
          <w:wBefore w:w="0" w:type="dxa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24"/>
              </w:rPr>
              <w:t>NIE</w:t>
            </w:r>
          </w:p>
        </w:tc>
      </w:tr>
      <w:tr>
        <w:trPr>
          <w:gridAfter w:val="2"/>
          <w:wBefore w:w="0" w:type="dxa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1. </w:t>
            </w:r>
            <w:r>
              <w:rPr>
                <w:sz w:val="24"/>
              </w:rPr>
              <w:t>rozpoznanie chorób ze spektrum zapalenia nerwów wzrokowych oraz rdzenia kręgowego (NMOSD) - oparte na aktualnych kryteriach diagnostycznych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2"/>
          <w:wBefore w:w="0" w:type="dxa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2. </w:t>
            </w:r>
            <w:r>
              <w:rPr>
                <w:sz w:val="24"/>
              </w:rPr>
              <w:t>potwierdzenie obecności przeciwciał anty-AQP4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2"/>
          <w:wBefore w:w="0" w:type="dxa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3. </w:t>
            </w:r>
            <w:r>
              <w:rPr>
                <w:sz w:val="24"/>
              </w:rPr>
              <w:t>EDSS od 0 do 6,5 włącznie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2"/>
          <w:wBefore w:w="0" w:type="dxa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4. </w:t>
            </w:r>
            <w:r>
              <w:rPr>
                <w:sz w:val="24"/>
              </w:rPr>
              <w:t>brak przeciwwskazań do stosowania satralizumabu określonych w aktualnej Charakterystyce Produktu Leczniczego (ChPL)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2"/>
          <w:wBefore w:w="0" w:type="dxa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t xml:space="preserve">5. </w:t>
            </w:r>
            <w:r>
              <w:rPr>
                <w:sz w:val="24"/>
              </w:rPr>
              <w:t>brak wcześniejszego leczenia inną terapią z zastosowaniem leków z grupy inhibitorów interleukiny 6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66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300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1"/>
          <w:wBefore w:w="0" w:type="dxa"/>
          <w:wAfter w:w="1245" w:type="dxa"/>
          <w:trHeight w:hRule="atLeast" w:val="291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</w:rPr>
              <w:t>Przeciwskazania do włączenia do programu: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TAK</w:t>
            </w:r>
          </w:p>
        </w:tc>
        <w:tc>
          <w:tcPr>
            <w:tcW w:w="87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 xml:space="preserve">NIE </w:t>
            </w:r>
          </w:p>
        </w:tc>
      </w:tr>
      <w:tr>
        <w:trPr>
          <w:gridAfter w:val="1"/>
          <w:wBefore w:w="0" w:type="dxa"/>
          <w:wAfter w:w="1245" w:type="dxa"/>
          <w:trHeight w:hRule="atLeast" w:val="514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nadwrażliwość na satralizumab lub na którąkolwiek substancję pomocniczą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1"/>
          <w:wBefore w:w="0" w:type="dxa"/>
          <w:wAfter w:w="1245" w:type="dxa"/>
          <w:trHeight w:hRule="atLeast" w:val="243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trwające aktualnie czynne zakażenie do momentu ustąpienia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1"/>
          <w:wBefore w:w="0" w:type="dxa"/>
          <w:wAfter w:w="1245" w:type="dxa"/>
          <w:trHeight w:hRule="atLeast" w:val="261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aktywny nowotwór złośliwy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1"/>
          <w:wBefore w:w="0" w:type="dxa"/>
          <w:wAfter w:w="1245" w:type="dxa"/>
          <w:trHeight w:hRule="atLeast" w:val="544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wcześniejsze leczenie przeciwciałem anty-CD20, ekulizumabem, przeciwciałem monoklonalnym anty-BLyS, lekiem zapobiegającym nawrotom stwardnienia rozsianego w ciągu 6 miesięcy przed kwalifikacją do programu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1"/>
          <w:wBefore w:w="0" w:type="dxa"/>
          <w:wAfter w:w="1245" w:type="dxa"/>
          <w:trHeight w:hRule="atLeast" w:val="582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wcześniejsze leczenie anty-CD4, kladrybiną, cyklofosfamidem lub mitoksantronem, przeszczepienie komórek macierzystych szpiku w ciągu 2 lat przed przystąpieniem do programu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1"/>
          <w:wBefore w:w="0" w:type="dxa"/>
          <w:wAfter w:w="1245" w:type="dxa"/>
          <w:trHeight w:hRule="atLeast" w:val="582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inne stany kliniczne, które w opinii lekarza, mogą stanowić przeciwwskazania do terapii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gridAfter w:val="1"/>
          <w:wBefore w:w="0" w:type="dxa"/>
          <w:wAfter w:w="1245" w:type="dxa"/>
          <w:trHeight w:hRule="atLeast" w:val="582"/>
        </w:trPr>
        <w:tc>
          <w:tcPr>
            <w:tcW w:w="708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inne przeciwwskazania wymienione w aktualnej ChPL</w:t>
            </w:r>
          </w:p>
        </w:tc>
        <w:tc>
          <w:tcPr>
            <w:tcW w:w="88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66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300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66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300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Uwagi: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714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4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483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Data: …………………………</w:t>
            </w:r>
          </w:p>
        </w:tc>
        <w:tc>
          <w:tcPr>
            <w:tcW w:w="525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……………..………………………………</w:t>
            </w:r>
          </w:p>
        </w:tc>
      </w:tr>
      <w:tr>
        <w:trPr>
          <w:wBefore w:w="0" w:type="dxa"/>
        </w:trPr>
        <w:tc>
          <w:tcPr>
            <w:tcW w:w="2475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35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525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120" w:after="120" w:beforeAutospacing="0" w:afterAutospacing="0"/>
        <w:ind w:firstLine="227"/>
        <w:jc w:val="right"/>
        <w:rPr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</w:r>
    </w:p>
    <w:p>
      <w:pPr>
        <w:spacing w:before="120" w:after="120" w:beforeAutospacing="0" w:afterAutospacing="0"/>
        <w:ind w:firstLine="0" w:left="0"/>
        <w:jc w:val="right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 dnia……………………..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center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Decyzja dotycząca kwalifikacji do leczenia w programie lekowym Leczenie pacjentów ze spektrum zapalenia nerwów wzrokowych i rdzenia kręgowego (NMOSD)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Przewodniczący Zespołu Koordynacyjnego ds. Leczenia Pacjentów ze Spektrum Zapalenia Nerwów Wzrokowych i Rdzenia Kręgowego: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Dotyczy pacjenta: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Imię i nazwisko: ……………………………………………PESEL: ………………………….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Świadczeniodawca wnioskujący: ………………………………………………………………</w:t>
        <w:br w:type="textWrapping"/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Lek: Enspryng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Decyzja: Pozytywna/Negatywna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Podpis  Przewodniczącego Zespołu Koordynacyjnego ds. Leczenia Pacjentów ze Spektrum Zapalenia Nerwów Wzrokowych i Rdzenia Kręgowego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br w:type="page"/>
      </w:r>
      <w:r>
        <w:rPr>
          <w:b w:val="1"/>
          <w:caps w:val="1"/>
          <w:color w:val="000000"/>
          <w:u w:val="none" w:color="000000"/>
        </w:rPr>
        <w:t>2.1 Z</w:t>
      </w:r>
      <w:r>
        <w:rPr>
          <w:b w:val="1"/>
          <w:color w:val="000000"/>
          <w:u w:val="none" w:color="000000"/>
        </w:rPr>
        <w:t>ałącznik do wniosku o zakwalifikowanie pacjenta do leczenia w programie lekowym Leczenie pacjentów ze spektrum zapalenia nerwów wzrokowych i rdzenia kręgowego (NMOSD)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Wyrażam zgodę na przetwarzanie moich danych osobowych w celach wynikających</w:t>
      </w:r>
      <w:r>
        <w:rPr>
          <w:color w:val="000000"/>
          <w:u w:val="none" w:color="000000"/>
          <w:lang w:val="pl-PL" w:bidi="pl-PL" w:eastAsia="pl-PL"/>
        </w:rPr>
        <w:t xml:space="preserve"> </w:t>
      </w:r>
      <w:r>
        <w:rPr>
          <w:color w:val="000000"/>
          <w:u w:val="none" w:color="000000"/>
        </w:rPr>
        <w:t>z art. 188 oraz art. 188c ustawy o świadczeniach opieki zdrowotnej finansowanych ze środków publicznych.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Zostałam(em) poinformowana(y) o istocie choroby, możliwości wystąpienia objawów niepożądanych i powikłań zastosowanej terapii oraz o możliwości zaprzestania terapii.</w:t>
      </w:r>
    </w:p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>Mając powyższe na uwadze, wyrażam zgodę na leczenie satralizumabem oraz zobowiązuję się do przyjmowania tego leku zgodnie z zaleceniami lekarskimi, oraz stawienia się na badania kontrolne w wyznaczonych terminach.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Podpis pacjenta (w przypadku dziecka podpis rodziców lub opiekuna)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Podpis lekarza</w:t>
            </w: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33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color w:val="000000"/>
          <w:u w:val="none" w:color="000000"/>
        </w:rPr>
      </w:pPr>
      <w:r>
        <w:rPr>
          <w:color w:val="000000"/>
          <w:u w:val="none" w:color="000000"/>
        </w:rPr>
        <w:t xml:space="preserve">Administrator danych osobowych, przetwarzający dane niezbędne przy realizacji programu lekowego zobowiązany jest do stosowania przepisów Rozporządzenia Parlamentu Europejskiego i Rady (UE) 2016/679 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Rodak Agata</dc:creator>
  <dcterms:created xsi:type="dcterms:W3CDTF">2023-11-17T12:50:58Z</dcterms:created>
  <cp:lastModifiedBy>Michalak Alicja</cp:lastModifiedBy>
  <dcterms:modified xsi:type="dcterms:W3CDTF">2023-11-30T12:40:40Z</dcterms:modified>
  <cp:revision>154</cp:revision>
</cp:coreProperties>
</file>