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4D5" w:rsidRDefault="00961DB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62 do zarządzenia Nr </w:t>
      </w:r>
      <w:r>
        <w:t>175/2023/DGL</w:t>
      </w:r>
      <w:r>
        <w:br/>
        <w:t>Prezesa Narodowego Funduszu Zdrowia</w:t>
      </w:r>
      <w:r>
        <w:br/>
        <w:t>z dnia</w:t>
      </w:r>
      <w:r>
        <w:t xml:space="preserve"> 30 listopada </w:t>
      </w:r>
      <w:r>
        <w:t>2023 r.</w:t>
      </w:r>
    </w:p>
    <w:p w:rsidR="00BE34D5" w:rsidRDefault="00961DB7">
      <w:pPr>
        <w:keepNext/>
        <w:spacing w:after="480"/>
        <w:jc w:val="center"/>
      </w:pPr>
      <w:r>
        <w:rPr>
          <w:b/>
        </w:rPr>
        <w:t>Regulamin Zespołu Koordynacyjnego do spraw Chorób Ultrarzadkich</w:t>
      </w:r>
      <w:r>
        <w:rPr>
          <w:b/>
        </w:rPr>
        <w:br/>
        <w:t xml:space="preserve">Regulamin Sekcji ds. Zespołów Autozapalnych i Obrzęku Naczynioruchowego </w:t>
      </w:r>
      <w:r>
        <w:rPr>
          <w:b/>
        </w:rPr>
        <w:t>działającej w ramach Zespołu Koordynacyjnego ds. Chorób Ultrarzadkich</w:t>
      </w:r>
    </w:p>
    <w:p w:rsidR="00BE34D5" w:rsidRDefault="00961DB7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E34D5" w:rsidRDefault="00961DB7">
      <w:pPr>
        <w:spacing w:before="120" w:after="120"/>
        <w:ind w:left="340" w:hanging="227"/>
      </w:pPr>
      <w:r>
        <w:t>1) </w:t>
      </w:r>
      <w:r>
        <w:t>kwalifikuje świadczeniobiorców do leczenia w ramach programu lekowego:</w:t>
      </w:r>
    </w:p>
    <w:p w:rsidR="00BE34D5" w:rsidRDefault="00961DB7">
      <w:pPr>
        <w:keepLines/>
        <w:spacing w:before="120" w:after="120"/>
        <w:ind w:left="567" w:hanging="227"/>
      </w:pPr>
      <w:r>
        <w:t>a) </w:t>
      </w:r>
      <w:r>
        <w:t>Leczenie choroby Gauchera typu I oraz typu III;</w:t>
      </w:r>
    </w:p>
    <w:p w:rsidR="00BE34D5" w:rsidRDefault="00961DB7">
      <w:pPr>
        <w:keepLines/>
        <w:spacing w:before="120" w:after="120"/>
        <w:ind w:left="567" w:hanging="227"/>
      </w:pPr>
      <w:r>
        <w:t>b) </w:t>
      </w:r>
      <w:r>
        <w:t>Leczenie choroby Hurler;</w:t>
      </w:r>
    </w:p>
    <w:p w:rsidR="00BE34D5" w:rsidRDefault="00961DB7">
      <w:pPr>
        <w:keepLines/>
        <w:spacing w:before="120" w:after="120"/>
        <w:ind w:left="567" w:hanging="227"/>
      </w:pPr>
      <w:r>
        <w:t>c) </w:t>
      </w:r>
      <w:r>
        <w:t>Lecze</w:t>
      </w:r>
      <w:r>
        <w:t>nie choroby Pompego;</w:t>
      </w:r>
    </w:p>
    <w:p w:rsidR="00BE34D5" w:rsidRDefault="00961DB7">
      <w:pPr>
        <w:keepLines/>
        <w:spacing w:before="120" w:after="120"/>
        <w:ind w:left="567" w:hanging="227"/>
      </w:pPr>
      <w:r>
        <w:t>d) </w:t>
      </w:r>
      <w:r>
        <w:t>Leczenie mukopolisacharydozy typu II (zespół Huntera);</w:t>
      </w:r>
    </w:p>
    <w:p w:rsidR="00BE34D5" w:rsidRDefault="00961DB7">
      <w:pPr>
        <w:keepLines/>
        <w:spacing w:before="120" w:after="120"/>
        <w:ind w:left="567" w:hanging="227"/>
      </w:pPr>
      <w:r>
        <w:t>e) </w:t>
      </w:r>
      <w:r>
        <w:t>Leczenie ciężkich wrodzonych hiperhomocysteinemii;</w:t>
      </w:r>
    </w:p>
    <w:p w:rsidR="00BE34D5" w:rsidRDefault="00961DB7">
      <w:pPr>
        <w:keepLines/>
        <w:spacing w:before="120" w:after="120"/>
        <w:ind w:left="567" w:hanging="227"/>
      </w:pPr>
      <w:r>
        <w:t>f) </w:t>
      </w:r>
      <w:r>
        <w:t>Leczenie tyrozynemii typu 1 (HT-1);</w:t>
      </w:r>
    </w:p>
    <w:p w:rsidR="00BE34D5" w:rsidRDefault="00961DB7">
      <w:pPr>
        <w:keepLines/>
        <w:spacing w:before="120" w:after="120"/>
        <w:ind w:left="567" w:hanging="227"/>
      </w:pPr>
      <w:r>
        <w:t>g) </w:t>
      </w:r>
      <w:r>
        <w:t>Leczenie pacjentów z wrodzonymi zespołami autozapalnymi;</w:t>
      </w:r>
    </w:p>
    <w:p w:rsidR="00BE34D5" w:rsidRDefault="00961DB7">
      <w:pPr>
        <w:keepLines/>
        <w:spacing w:before="120" w:after="120"/>
        <w:ind w:left="567" w:hanging="227"/>
      </w:pPr>
      <w:r>
        <w:t>h) </w:t>
      </w:r>
      <w:r>
        <w:t>Leczenie choroby Fabr</w:t>
      </w:r>
      <w:r>
        <w:t>y`ego;</w:t>
      </w:r>
    </w:p>
    <w:p w:rsidR="00BE34D5" w:rsidRDefault="00961DB7">
      <w:pPr>
        <w:keepLines/>
        <w:spacing w:before="120" w:after="120"/>
        <w:ind w:left="567" w:hanging="227"/>
      </w:pPr>
      <w:r>
        <w:t>i) </w:t>
      </w:r>
      <w:r>
        <w:t>Leczenie uzupełniające L-karnityną w wybranych chorobach metabolicznych;</w:t>
      </w:r>
    </w:p>
    <w:p w:rsidR="00BE34D5" w:rsidRDefault="00961DB7">
      <w:pPr>
        <w:keepLines/>
        <w:spacing w:before="120" w:after="120"/>
        <w:ind w:left="567" w:hanging="227"/>
      </w:pPr>
      <w:r>
        <w:t>j) </w:t>
      </w:r>
      <w:r>
        <w:t>Leczenie chorych na cystynozę nefropatyczną;</w:t>
      </w:r>
    </w:p>
    <w:p w:rsidR="00BE34D5" w:rsidRDefault="00961DB7">
      <w:pPr>
        <w:keepLines/>
        <w:spacing w:before="120" w:after="120"/>
        <w:ind w:left="567" w:hanging="227"/>
      </w:pPr>
      <w:r>
        <w:t>k) </w:t>
      </w:r>
      <w:r>
        <w:t>Leczenie zapobiegawcze chorych z nawracającymi napadami dziedzicznego obrzęku naczynioruchowego o ciężkim przebiegu;</w:t>
      </w:r>
    </w:p>
    <w:p w:rsidR="00BE34D5" w:rsidRDefault="00961DB7">
      <w:pPr>
        <w:keepLines/>
        <w:spacing w:before="120" w:after="120"/>
        <w:ind w:left="567" w:hanging="227"/>
      </w:pPr>
      <w:r>
        <w:t>l) </w:t>
      </w:r>
      <w:r>
        <w:t>Le</w:t>
      </w:r>
      <w:r>
        <w:t>czenie amifamprydyną pacjentów z zespołem miastenicznym Lamberta-Eatona;</w:t>
      </w:r>
    </w:p>
    <w:p w:rsidR="00BE34D5" w:rsidRDefault="00961DB7">
      <w:pPr>
        <w:keepLines/>
        <w:spacing w:before="120" w:after="120"/>
        <w:ind w:left="567" w:hanging="227"/>
      </w:pPr>
      <w:r>
        <w:t>m) </w:t>
      </w:r>
      <w:r>
        <w:t>Leczenie wspomagające zaburzeń cyklu mocznikowego;</w:t>
      </w:r>
    </w:p>
    <w:p w:rsidR="00BE34D5" w:rsidRDefault="00961DB7">
      <w:pPr>
        <w:keepLines/>
        <w:spacing w:before="120" w:after="120"/>
        <w:ind w:left="567" w:hanging="227"/>
      </w:pPr>
      <w:r>
        <w:t>n) </w:t>
      </w:r>
      <w:r>
        <w:t>Leczenie kwasem kargluminowym chorych z acyduriami organicznymi: propionową, metylomalonową i izowalerianową;</w:t>
      </w:r>
    </w:p>
    <w:p w:rsidR="00BE34D5" w:rsidRDefault="00961DB7">
      <w:pPr>
        <w:keepLines/>
        <w:spacing w:before="120" w:after="120"/>
        <w:ind w:left="567" w:hanging="227"/>
      </w:pPr>
      <w:r>
        <w:t>o) </w:t>
      </w:r>
      <w:r>
        <w:t>Leczenie chor</w:t>
      </w:r>
      <w:r>
        <w:t>ych na hipofosfatemię sprzężoną z chromosomem X (XLH);</w:t>
      </w:r>
    </w:p>
    <w:p w:rsidR="00BE34D5" w:rsidRDefault="00961DB7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BE34D5" w:rsidRDefault="00961DB7">
      <w:pPr>
        <w:spacing w:before="120" w:after="120"/>
        <w:ind w:left="340" w:hanging="227"/>
      </w:pPr>
      <w:r>
        <w:t>3) </w:t>
      </w:r>
      <w:r>
        <w:t>dokonuje oceny skuteczności terapii w trakcie trwania programu lekowego:</w:t>
      </w:r>
    </w:p>
    <w:p w:rsidR="00BE34D5" w:rsidRDefault="00961DB7">
      <w:pPr>
        <w:keepLines/>
        <w:spacing w:before="120" w:after="120"/>
        <w:ind w:left="567" w:hanging="227"/>
      </w:pPr>
      <w:r>
        <w:t>a) </w:t>
      </w:r>
      <w:r>
        <w:t>Leczenie choroby Gauchera typu I oraz typu III;</w:t>
      </w:r>
    </w:p>
    <w:p w:rsidR="00BE34D5" w:rsidRDefault="00961DB7">
      <w:pPr>
        <w:keepLines/>
        <w:spacing w:before="120" w:after="120"/>
        <w:ind w:left="567" w:hanging="227"/>
      </w:pPr>
      <w:r>
        <w:t>b) </w:t>
      </w:r>
      <w:r>
        <w:t xml:space="preserve">Leczenie </w:t>
      </w:r>
      <w:r>
        <w:t>choroby Hurler;</w:t>
      </w:r>
    </w:p>
    <w:p w:rsidR="00BE34D5" w:rsidRDefault="00961DB7">
      <w:pPr>
        <w:keepLines/>
        <w:spacing w:before="120" w:after="120"/>
        <w:ind w:left="567" w:hanging="227"/>
      </w:pPr>
      <w:r>
        <w:t>c) </w:t>
      </w:r>
      <w:r>
        <w:t>Leczenie choroby Pompego;</w:t>
      </w:r>
    </w:p>
    <w:p w:rsidR="00BE34D5" w:rsidRDefault="00961DB7">
      <w:pPr>
        <w:keepLines/>
        <w:spacing w:before="120" w:after="120"/>
        <w:ind w:left="567" w:hanging="227"/>
      </w:pPr>
      <w:r>
        <w:t>d) </w:t>
      </w:r>
      <w:r>
        <w:t>Leczenie mukopolisacharydozy typu II (zespół Huntera);</w:t>
      </w:r>
    </w:p>
    <w:p w:rsidR="00BE34D5" w:rsidRDefault="00961DB7">
      <w:pPr>
        <w:keepLines/>
        <w:spacing w:before="120" w:after="120"/>
        <w:ind w:left="567" w:hanging="227"/>
      </w:pPr>
      <w:r>
        <w:t>e) </w:t>
      </w:r>
      <w:r>
        <w:t>Leczenie ciężkich wrodzonych hiperhomocysteinemii;</w:t>
      </w:r>
    </w:p>
    <w:p w:rsidR="00BE34D5" w:rsidRDefault="00961DB7">
      <w:pPr>
        <w:keepLines/>
        <w:spacing w:before="120" w:after="120"/>
        <w:ind w:left="567" w:hanging="227"/>
      </w:pPr>
      <w:r>
        <w:t>f) </w:t>
      </w:r>
      <w:r>
        <w:t>Leczenie tyrozynemii typu 1 (HT-1);</w:t>
      </w:r>
    </w:p>
    <w:p w:rsidR="00BE34D5" w:rsidRDefault="00961DB7">
      <w:pPr>
        <w:keepLines/>
        <w:spacing w:before="120" w:after="120"/>
        <w:ind w:left="567" w:hanging="227"/>
      </w:pPr>
      <w:r>
        <w:t>g) </w:t>
      </w:r>
      <w:r>
        <w:t>Leczenie pacjentów z wrodzonymi zespołami autozapalnymi;</w:t>
      </w:r>
    </w:p>
    <w:p w:rsidR="00BE34D5" w:rsidRDefault="00961DB7">
      <w:pPr>
        <w:keepLines/>
        <w:spacing w:before="120" w:after="120"/>
        <w:ind w:left="567" w:hanging="227"/>
      </w:pPr>
      <w:r>
        <w:t>h) </w:t>
      </w:r>
      <w:r>
        <w:t>Leczenie choroby Fabry`ego;</w:t>
      </w:r>
    </w:p>
    <w:p w:rsidR="00BE34D5" w:rsidRDefault="00961DB7">
      <w:pPr>
        <w:keepLines/>
        <w:spacing w:before="120" w:after="120"/>
        <w:ind w:left="567" w:hanging="227"/>
      </w:pPr>
      <w:r>
        <w:t>i) </w:t>
      </w:r>
      <w:r>
        <w:t>Leczenie uzupełniające L-karnityną w wybranych chorobach metabolicznych;</w:t>
      </w:r>
    </w:p>
    <w:p w:rsidR="00BE34D5" w:rsidRDefault="00961DB7">
      <w:pPr>
        <w:keepLines/>
        <w:spacing w:before="120" w:after="120"/>
        <w:ind w:left="567" w:hanging="227"/>
      </w:pPr>
      <w:r>
        <w:t>j) </w:t>
      </w:r>
      <w:r>
        <w:t>Leczenie chorych na cystynozę nefropatyczną;</w:t>
      </w:r>
    </w:p>
    <w:p w:rsidR="00BE34D5" w:rsidRDefault="00961DB7">
      <w:pPr>
        <w:keepLines/>
        <w:spacing w:before="120" w:after="120"/>
        <w:ind w:left="567" w:hanging="227"/>
      </w:pPr>
      <w:r>
        <w:lastRenderedPageBreak/>
        <w:t>k) </w:t>
      </w:r>
      <w:r>
        <w:t>Leczenie zapobiegawcze chorych z nawracającymi napadami dziedzicznego obrzęku naczynioruchowego o </w:t>
      </w:r>
      <w:r>
        <w:t>ciężkim przebiegu;</w:t>
      </w:r>
    </w:p>
    <w:p w:rsidR="00BE34D5" w:rsidRDefault="00961DB7">
      <w:pPr>
        <w:keepLines/>
        <w:spacing w:before="120" w:after="120"/>
        <w:ind w:left="567" w:hanging="227"/>
      </w:pPr>
      <w:r>
        <w:t>l) </w:t>
      </w:r>
      <w:r>
        <w:t>Leczenie amifamprydyną pacjentów z zespołem miastenicznym Lamberta-Eatona;</w:t>
      </w:r>
    </w:p>
    <w:p w:rsidR="00BE34D5" w:rsidRDefault="00961DB7">
      <w:pPr>
        <w:keepLines/>
        <w:spacing w:before="120" w:after="120"/>
        <w:ind w:left="567" w:hanging="227"/>
      </w:pPr>
      <w:r>
        <w:t>m) </w:t>
      </w:r>
      <w:r>
        <w:t>Leczenie wspomagające zaburzeń cyklu mocznikowego;</w:t>
      </w:r>
    </w:p>
    <w:p w:rsidR="00BE34D5" w:rsidRDefault="00961DB7">
      <w:pPr>
        <w:keepLines/>
        <w:spacing w:before="120" w:after="120"/>
        <w:ind w:left="567" w:hanging="227"/>
      </w:pPr>
      <w:r>
        <w:t>n) </w:t>
      </w:r>
      <w:r>
        <w:t>Leczenie kwasem kargluminowym chorych z acyduriami organicznymi: propionową, metylomalonową i izowaler</w:t>
      </w:r>
      <w:r>
        <w:t>ianową;</w:t>
      </w:r>
    </w:p>
    <w:p w:rsidR="00BE34D5" w:rsidRDefault="00961DB7">
      <w:pPr>
        <w:keepLines/>
        <w:spacing w:before="120" w:after="120"/>
        <w:ind w:left="567" w:hanging="227"/>
      </w:pPr>
      <w:r>
        <w:t>o) </w:t>
      </w:r>
      <w:r>
        <w:t>Leczenie chorych na hipofosfatemię sprzężoną z chromosomem X (XLH).</w:t>
      </w:r>
    </w:p>
    <w:p w:rsidR="00BE34D5" w:rsidRDefault="00961DB7">
      <w:pPr>
        <w:keepLines/>
        <w:spacing w:before="120" w:after="120"/>
        <w:ind w:firstLine="340"/>
      </w:pPr>
      <w:r>
        <w:t>2. </w:t>
      </w:r>
      <w:r>
        <w:t>W ramach Zespołu Koordynacyjnego, Prezes Funduszu, powołuje Sekcję ds. Zespołów Autozapalnych i Obrzęku Naczynioruchowego działającą na podstawie odrębnego regulaminu, określ</w:t>
      </w:r>
      <w:r>
        <w:t>onego przez Prezesa Funduszu.</w:t>
      </w:r>
    </w:p>
    <w:p w:rsidR="00BE34D5" w:rsidRDefault="00961DB7">
      <w:pPr>
        <w:keepLines/>
        <w:spacing w:before="120" w:after="120"/>
        <w:ind w:firstLine="340"/>
      </w:pPr>
      <w:r>
        <w:t>3. </w:t>
      </w:r>
      <w:r>
        <w:t>Członkowie Zespołu Koordynacyjnego, zwykłą większością głosów, wybierają ze swojego składu Przewodniczącego, jego Zastępców oraz Sekretarza.</w:t>
      </w:r>
    </w:p>
    <w:p w:rsidR="00BE34D5" w:rsidRDefault="00961DB7">
      <w:pPr>
        <w:keepLines/>
        <w:spacing w:before="120" w:after="120"/>
        <w:ind w:firstLine="340"/>
      </w:pPr>
      <w:r>
        <w:t>4. </w:t>
      </w:r>
      <w:r>
        <w:t>Do zadań Przewodniczącego należy w szczególności:</w:t>
      </w:r>
    </w:p>
    <w:p w:rsidR="00BE34D5" w:rsidRDefault="00961DB7">
      <w:pPr>
        <w:spacing w:before="120" w:after="120"/>
        <w:ind w:left="340" w:hanging="227"/>
      </w:pPr>
      <w:r>
        <w:t>1) </w:t>
      </w:r>
      <w:r>
        <w:t>organizacja oraz prowadzen</w:t>
      </w:r>
      <w:r>
        <w:t>ie posiedzeń Zespołu Koordynacyjnego;</w:t>
      </w:r>
    </w:p>
    <w:p w:rsidR="00BE34D5" w:rsidRDefault="00961DB7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E34D5" w:rsidRDefault="00961DB7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</w:t>
      </w:r>
      <w:r>
        <w:t>laminu;</w:t>
      </w:r>
    </w:p>
    <w:p w:rsidR="00BE34D5" w:rsidRDefault="00961DB7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BE34D5" w:rsidRDefault="00961DB7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E34D5" w:rsidRDefault="00961DB7">
      <w:pPr>
        <w:keepLines/>
        <w:spacing w:before="120" w:after="120"/>
        <w:ind w:firstLine="340"/>
      </w:pPr>
      <w:r>
        <w:t>5. </w:t>
      </w:r>
      <w:r>
        <w:t>W czasie nieobecności Przewodniczącego czynności, o których mowa w ust. 4, wykonuje wyznaczony Zastępca Przewodniczącego.</w:t>
      </w:r>
    </w:p>
    <w:p w:rsidR="00BE34D5" w:rsidRDefault="00961DB7">
      <w:pPr>
        <w:keepLines/>
        <w:spacing w:before="120" w:after="120"/>
        <w:ind w:firstLine="340"/>
      </w:pPr>
      <w:r>
        <w:t>6. </w:t>
      </w:r>
      <w:r>
        <w:t>Do zadań Sekretarza należy protokołowanie posiedzeń Zespołu Koordynacyjnego.</w:t>
      </w:r>
    </w:p>
    <w:p w:rsidR="00BE34D5" w:rsidRDefault="00961DB7">
      <w:pPr>
        <w:keepLines/>
        <w:spacing w:before="120" w:after="120"/>
        <w:ind w:firstLine="340"/>
      </w:pPr>
      <w:r>
        <w:t>7. 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BE34D5" w:rsidRDefault="00961DB7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</w:t>
      </w:r>
      <w:r>
        <w:t xml:space="preserve"> do obwieszczenia ministra właściwego do spraw zdrowia w sprawie wykazu leków refundowanych, środków spożywczych specjalnego przeznaczenia żywieniowego oraz wyrobów medycznych oraz zgodnie z zarządzeniem Prezesa Funduszu w sprawie określenia warunków zawie</w:t>
      </w:r>
      <w:r>
        <w:t>rania i realizacji umów w rodzaju leczenie szpitalne w zakresie programy lekowe.</w:t>
      </w:r>
    </w:p>
    <w:p w:rsidR="00BE34D5" w:rsidRDefault="00961DB7">
      <w:pPr>
        <w:keepLines/>
        <w:spacing w:before="120" w:after="120"/>
        <w:ind w:firstLine="340"/>
      </w:pPr>
      <w:r>
        <w:t>9. </w:t>
      </w:r>
      <w:r>
        <w:t>Kwalifikacja do leczenia w ramach programów lekowych "Leczenie wrodzonych zespołów autozapalnych" oraz "Leczenie zapobiegawcze chorych z nawracającymi napadami dziedziczneg</w:t>
      </w:r>
      <w:r>
        <w:t>o obrzęku naczynioruchowego o ciężkim przebiegu" jest dokonywana przez członków Sekcji ds. Zespołów Autozapalnych i Obrzęku Naczynioruchowego.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</w:t>
      </w:r>
      <w:r>
        <w:t>kwalifikacji świadczeniobiorców do programu oraz wyłączenia świadczeniobiorców z programu.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</w:t>
      </w:r>
      <w:r>
        <w:rPr>
          <w:color w:val="000000"/>
          <w:u w:color="000000"/>
        </w:rPr>
        <w:t>opinii, z jakąkolwiek osobą, organizacją, czy instytucją, która mogłaby być zainteresowana bezpośrednio lub pośrednio podejmowanymi przez Zespół Koordynacyjny decyzjami.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Decyzje Zespołu Koordynacyjnego dotyczące leczenia pacjentów oraz inne decyzje Zes</w:t>
      </w:r>
      <w:r>
        <w:rPr>
          <w:color w:val="000000"/>
          <w:u w:color="000000"/>
        </w:rPr>
        <w:t>połu Koordynacyjnego dotyczące realizacji programu lekowego są podejmowane na posiedzeniach zwykłą większością głosów, w obecności Przewodniczącego albo w przypadku jego nieobecności - Zastępcy Przewodniczącego. W przypadku oddania równej liczby głosów dec</w:t>
      </w:r>
      <w:r>
        <w:rPr>
          <w:color w:val="000000"/>
          <w:u w:color="000000"/>
        </w:rPr>
        <w:t>yduje głos Przewodniczącego, a w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W wyjątkowych okolicznościach związanych z koniecznością zapewnienia szybkiego dostępu do terapii, bądź zachowania ciągłości terapii w danym programie lekowym decyzję może jednoosobowo podjąć Przewodniczący lub Zastępca Przewodniczącego. Decyzja nie może z</w:t>
      </w:r>
      <w:r>
        <w:rPr>
          <w:color w:val="000000"/>
          <w:u w:color="000000"/>
        </w:rPr>
        <w:t>ostać podjęta na okres dłuższy niż do czasu najbliższego posiedzenia Zespołu Koordynacyjnego. W każdym tego typu przypadku, na najbliższym posiedzeniu Zespołu Koordynacyjnego przedstawiany jest wniosek o zakwalifikowanie pacjenta do leczenia, bądź w przypa</w:t>
      </w:r>
      <w:r>
        <w:rPr>
          <w:color w:val="000000"/>
          <w:u w:color="000000"/>
        </w:rPr>
        <w:t>dku kontynuacji terapii - karta monitorowania leczenia.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</w:t>
      </w:r>
      <w:r>
        <w:rPr>
          <w:color w:val="000000"/>
          <w:u w:color="000000"/>
        </w:rPr>
        <w:t>pacjenta do leczenia, kontynuację lub zaprzestanie leczenia.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</w:t>
      </w:r>
      <w:r>
        <w:rPr>
          <w:color w:val="000000"/>
          <w:u w:color="000000"/>
        </w:rPr>
        <w:t>ywać się z wykorzystaniem środków komunikacji elektronicznej umożliwiających porozumiewanie się na odległość.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</w:t>
      </w:r>
      <w:r>
        <w:rPr>
          <w:color w:val="000000"/>
          <w:u w:color="000000"/>
        </w:rPr>
        <w:t>dzenia odbywają się przy udziale co najmniej połowy członków Zespołu Koordynacyjnego.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</w:t>
      </w:r>
      <w:r>
        <w:rPr>
          <w:color w:val="000000"/>
          <w:u w:color="000000"/>
        </w:rPr>
        <w:t>tokół jest przekazywany Prezesowi Funduszu oraz Jednostce Koordynującej.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</w:t>
      </w:r>
      <w:r>
        <w:rPr>
          <w:color w:val="000000"/>
          <w:u w:color="000000"/>
        </w:rPr>
        <w:t>czniku do regulaminu, w terminach odpowiednio do: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może występować do Ministra Zdrowia w sprawach związanych z realizacją program</w:t>
      </w:r>
      <w:r>
        <w:rPr>
          <w:color w:val="000000"/>
          <w:u w:color="000000"/>
        </w:rPr>
        <w:t>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Każda osoba powołana przez</w:t>
      </w:r>
      <w:r>
        <w:rPr>
          <w:color w:val="000000"/>
          <w:u w:color="000000"/>
        </w:rPr>
        <w:t xml:space="preserve">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 xml:space="preserve">Obsługę </w:t>
      </w:r>
      <w:r>
        <w:rPr>
          <w:color w:val="000000"/>
          <w:u w:color="000000"/>
        </w:rPr>
        <w:t>administracyjną oraz prawną Zespołu Koordynacyjnego oraz jego członków zapewnia Jednostka Koordynująca. Do zadań Jednostki Koordynującej należy w szczególności: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</w:t>
      </w:r>
      <w:r>
        <w:rPr>
          <w:color w:val="000000"/>
          <w:u w:color="000000"/>
        </w:rPr>
        <w:t>espołu Koordynacyjnego;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Regulamin Sekcji ds. Zespołów Autozapalnych i Ob</w:t>
      </w:r>
      <w:r>
        <w:rPr>
          <w:b/>
          <w:color w:val="000000"/>
          <w:u w:color="000000"/>
        </w:rPr>
        <w:t>rzęku Naczynioruchowego działającej w ramach Zespołu Koordynacyjnego ds. Chorób Ultrarzadkich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Sekcja ds. Zespołów Autozapalnych i Obrzęku Naczynioruchowego, zwana dalej "Sekcją", powoływana jest przez Prezesa Funduszu.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Sekcja działa w ramach Zespołu </w:t>
      </w:r>
      <w:r>
        <w:rPr>
          <w:color w:val="000000"/>
          <w:u w:color="000000"/>
        </w:rPr>
        <w:t>Koordynacyjnego ds. Chorób Ultrarzadkich, zwanego dalej "Zespołem Koordynacyjnym", który wykonuje swoje zadania przy ośrodku będącym realizatorem świadczenia "kwalifikacja do leczenia w programie lekowym oraz weryfikacja jego skuteczności" (Jednostka Koord</w:t>
      </w:r>
      <w:r>
        <w:rPr>
          <w:color w:val="000000"/>
          <w:u w:color="000000"/>
        </w:rPr>
        <w:t>ynująca).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 terminach posiedzeń Sekcji informowany jest Przewodniczący Zespołu. W posiedzeniach Sekcji mogą uczestniczyć z prawem głosu członkowie Zespołu Koordynacyjnego oraz bez prawa głosu przedstawiciel Funduszu oraz Ministra Zdrowia.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Sekcja </w:t>
      </w:r>
      <w:r>
        <w:rPr>
          <w:color w:val="000000"/>
          <w:u w:color="000000"/>
        </w:rPr>
        <w:t>kwalifikuje do leczenia oraz weryfikuje skuteczność leczenia pacjentów w ramach programów lekowych finansowanych przez Fundusz: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"Leczenie wrodzonych zespołów autozapalnych";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"Leczenie zapobiegawcze chorych z nawracającymi napadami dziedzicznego obrzę</w:t>
      </w:r>
      <w:r>
        <w:rPr>
          <w:color w:val="000000"/>
          <w:u w:color="000000"/>
        </w:rPr>
        <w:t>ku naczynioruchowego o ciężkim przebiegu".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Sekcja podejmuje decyzje dotyczące kwalifikacji pacjentów do programu w dwóch podzespołach: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BE34D5" w:rsidRDefault="00961DB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</w:t>
      </w:r>
      <w:r>
        <w:rPr>
          <w:color w:val="000000"/>
          <w:u w:color="000000"/>
        </w:rPr>
        <w:t>ny, który podejmuje decyzje dotyczące kwalifikacji pacjentów &gt;18r.ż.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Pracami podzespołów kieruje odpowiednio do specjalizacji Przewodniczący Sekcji lub Zastępca Przewodniczącego Sekcji.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Kwalifikacja do leczenia odbywa się zgodnie z opisem świadczenia</w:t>
      </w:r>
      <w:r>
        <w:rPr>
          <w:color w:val="000000"/>
          <w:u w:color="000000"/>
        </w:rPr>
        <w:t>, określonym w załączniku do obwieszczenia oraz zgodnie z zarządzeniem.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Sekcja podejmuje decyzje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 xml:space="preserve"> dotyczące rozpoczęcia leczenia, kontynuowania oraz zakończenia leczenia, jak również dotyczące w</w:t>
      </w:r>
      <w:r>
        <w:t>ielkości dawki stosowanego leku, na podstawie prawidłowo wypełnionych dokumentów, niezbędnych dla kwalifikacji oraz monitorowania leczenia, zgodnie z opisem programu po uzyskaniu pozytywnej opinii recenzenta, wybranego spośród członków Sekcji. Wzory przedm</w:t>
      </w:r>
      <w:r>
        <w:t>iotowych dokumentów określone są w załączniku do zarządzenia.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Decyzje podejmowane przez Sekcję w zakresie leczenia pacjentów oraz inne decyzje związane z realizacją przedmiotowego programu lekowego są przedstawiane przez członków Sekcji na posiedzeniach</w:t>
      </w:r>
      <w:r>
        <w:rPr>
          <w:color w:val="000000"/>
          <w:u w:color="000000"/>
        </w:rPr>
        <w:t xml:space="preserve"> Zespołu Koordynacyjnego. Zespół Koordynacyjny dokonuje ostatecznej akceptacji uprzednio podjętych przez Sekcję decyzji zwykłą większością głosów w obecności Przewodniczącego lub w przypadku jego nieobecności - Zastępcy Przewodniczącego. W razie oddania ró</w:t>
      </w:r>
      <w:r>
        <w:rPr>
          <w:color w:val="000000"/>
          <w:u w:color="000000"/>
        </w:rPr>
        <w:t>wnej liczby głosów decyduje głos Przewodniczącego Zespołu, a w przypadku jego nieobecności - Zastępcy Przewodniczącego. Dokumenty zawierające decyzje podejmowane przez Sekcję podpisuje Przewodniczący, a w razie nieobecności Przewodniczącego - Zastępca Prze</w:t>
      </w:r>
      <w:r>
        <w:rPr>
          <w:color w:val="000000"/>
          <w:u w:color="000000"/>
        </w:rPr>
        <w:t>wodniczącego.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W wyjątkowych okolicznościach związanych z koniecznością zapewnienia szybkiego dostępu do terapii, bądź zachowania ciągłości leczenia decyzje są podejmowane przez upoważnionego przez Przewodniczącego Zespołu członka Sekcji. Decyzje te są </w:t>
      </w:r>
      <w:r>
        <w:rPr>
          <w:color w:val="000000"/>
          <w:u w:color="000000"/>
        </w:rPr>
        <w:t xml:space="preserve">jednoznaczne z możliwością rozpoczęcia terapii u pacjenta. Decyzje są następnie przedstawiane na posiedzeniach Zespołu Koordynacyjnego. W każdym tego typu przypadku, na najbliższym posiedzeniu Zespołu przedstawiany jest wniosek o zakwalifikowanie pacjenta </w:t>
      </w:r>
      <w:r>
        <w:rPr>
          <w:color w:val="000000"/>
          <w:u w:color="000000"/>
        </w:rPr>
        <w:t>do leczenia, bądź w przypadku kontynuacji terapii - karta monitorowania leczenia.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Informacja o posiedzeniach Sekcji jest przekazywana Przewodniczącemu Zespołu Koordynacyjnego bądź jego Zastępcy oraz Jednostce Koordynującej.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Sekretariat Jednostki Ko</w:t>
      </w:r>
      <w:r>
        <w:rPr>
          <w:color w:val="000000"/>
          <w:u w:color="000000"/>
        </w:rPr>
        <w:t>ordynującej odnotowuje informację o posiedzeniach Sekcji w protokołach z posiedzeń Zespołu Koordynacyjnego ds. Chorób Ultrarzadkich.</w:t>
      </w:r>
    </w:p>
    <w:p w:rsidR="00BE34D5" w:rsidRDefault="00961DB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Członkowie Sekcji są obowiązani do przestrzegania Regulaminu Zespołu Koordynacyjnego ds. Chorób Ultrarzadkich.</w:t>
      </w:r>
    </w:p>
    <w:p w:rsidR="00BE34D5" w:rsidRDefault="00961DB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color w:val="000000"/>
          <w:u w:color="000000"/>
        </w:rPr>
        <w:t>Załącznik do regulaminu</w:t>
      </w:r>
    </w:p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E34D5" w:rsidRDefault="00961DB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E34D5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E34D5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E34D5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</w:t>
      </w:r>
      <w:r>
        <w:rPr>
          <w:b/>
          <w:color w:val="000000"/>
          <w:u w:color="000000"/>
        </w:rPr>
        <w:t xml:space="preserve">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E34D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</w:t>
            </w:r>
            <w:r>
              <w:rPr>
                <w:sz w:val="20"/>
              </w:rPr>
              <w:t>kazać)</w:t>
            </w:r>
          </w:p>
          <w:p w:rsidR="00BE34D5" w:rsidRDefault="00961DB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E34D5" w:rsidRDefault="00961DB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  <w:p w:rsidR="00BE34D5" w:rsidRDefault="00961DB7">
            <w:pPr>
              <w:jc w:val="left"/>
            </w:pPr>
            <w:r>
              <w:rPr>
                <w:sz w:val="20"/>
              </w:rPr>
              <w:t>1) ……</w:t>
            </w:r>
          </w:p>
          <w:p w:rsidR="00BE34D5" w:rsidRDefault="00961DB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E34D5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E34D5" w:rsidRDefault="00961DB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E34D5" w:rsidRDefault="00961DB7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BE34D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961DB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E34D5" w:rsidRDefault="00961DB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E34D5" w:rsidRDefault="00961DB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E34D5" w:rsidRDefault="00961DB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E34D5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E34D5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E34D5" w:rsidRDefault="00961DB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E34D5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</w:tr>
      <w:tr w:rsidR="00BE34D5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34D5" w:rsidRDefault="00BE34D5">
            <w:pPr>
              <w:jc w:val="center"/>
              <w:rPr>
                <w:color w:val="000000"/>
                <w:u w:color="000000"/>
              </w:rPr>
            </w:pPr>
          </w:p>
          <w:p w:rsidR="00BE34D5" w:rsidRDefault="00961DB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34D5" w:rsidRDefault="00BE34D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34D5" w:rsidRDefault="00BE34D5">
            <w:pPr>
              <w:jc w:val="center"/>
              <w:rPr>
                <w:color w:val="000000"/>
                <w:u w:color="000000"/>
              </w:rPr>
            </w:pPr>
          </w:p>
          <w:p w:rsidR="00BE34D5" w:rsidRDefault="00961DB7">
            <w:pPr>
              <w:jc w:val="center"/>
            </w:pPr>
            <w:r>
              <w:t>………………………</w:t>
            </w:r>
          </w:p>
        </w:tc>
      </w:tr>
      <w:tr w:rsidR="00BE34D5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E34D5" w:rsidRDefault="00961DB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E34D5" w:rsidRDefault="00961DB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E34D5" w:rsidRDefault="00BE34D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E34D5" w:rsidRDefault="00961DB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E34D5" w:rsidRDefault="00961DB7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E34D5" w:rsidRDefault="00961DB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E34D5" w:rsidRDefault="00961DB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 w:rsidR="00BE34D5" w:rsidRDefault="00961DB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</w:t>
      </w:r>
      <w:r>
        <w:rPr>
          <w:i/>
          <w:color w:val="000000"/>
          <w:u w:color="000000"/>
        </w:rPr>
        <w:t>ależy złożyć do Prezesa Funduszu w terminach określonych w regulaminie prac Zespołu, wyłącznie za pośrednictwem środków komunikacji elektronicznej, w tym poczty elektronicznej w dwóch egzemplarzach. Jeden z egzemplarzy musi zostać przekazany w formie elekt</w:t>
      </w:r>
      <w:r>
        <w:rPr>
          <w:i/>
          <w:color w:val="000000"/>
          <w:u w:color="000000"/>
        </w:rPr>
        <w:t xml:space="preserve">ronicznej edytowalnej. </w:t>
      </w:r>
    </w:p>
    <w:p w:rsidR="00BE34D5" w:rsidRDefault="00961DB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BE34D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D5"/>
    <w:rsid w:val="00961DB7"/>
    <w:rsid w:val="00BE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FDB30D2-1070-456D-93F3-78FACC3D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B5ADB8F0-7D1F-4D1D-81BA-D11212007984" TargetMode="External"/><Relationship Id="rId4" Type="http://schemas.openxmlformats.org/officeDocument/2006/relationships/hyperlink" Target="fnote://82FF2B8B-26BA-4515-A99E-9079CA72CC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2197</Words>
  <Characters>13182</Characters>
  <Application>Microsoft Office Word</Application>
  <DocSecurity>4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2023-12-01T07:28:00Z</dcterms:created>
  <dcterms:modified xsi:type="dcterms:W3CDTF">2023-12-01T07:28:00Z</dcterms:modified>
  <cp:category>Akt prawny</cp:category>
</cp:coreProperties>
</file>