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40A" w:rsidRDefault="003F344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 do zarządzenia Nr 143/2023/DGL</w:t>
      </w:r>
      <w:r>
        <w:br/>
        <w:t>Prezesa Narodowego Funduszu Zdrowia</w:t>
      </w:r>
      <w:r>
        <w:br/>
        <w:t>z dnia 2 października 2023 r.</w:t>
      </w:r>
    </w:p>
    <w:p w:rsidR="005A040A" w:rsidRDefault="003F344E">
      <w:pPr>
        <w:keepNext/>
        <w:spacing w:after="480"/>
        <w:jc w:val="center"/>
      </w:pPr>
      <w:r>
        <w:rPr>
          <w:b/>
        </w:rPr>
        <w:t>Wykaz programów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800"/>
        <w:gridCol w:w="1785"/>
        <w:gridCol w:w="2490"/>
        <w:gridCol w:w="3060"/>
        <w:gridCol w:w="5130"/>
      </w:tblGrid>
      <w:tr w:rsidR="005A040A">
        <w:trPr>
          <w:trHeight w:val="84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KOD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NUMER ZAŁĄCZNIKA Z OBWIESZCZENIA MZ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ROZPOZNANIE KLINICZNE</w:t>
            </w:r>
          </w:p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ICD-10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NAZWA PROGRAMU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SUBSTANCJE CZYNNE</w:t>
            </w:r>
          </w:p>
        </w:tc>
      </w:tr>
      <w:tr w:rsidR="005A040A">
        <w:trPr>
          <w:trHeight w:val="30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6</w:t>
            </w:r>
          </w:p>
        </w:tc>
      </w:tr>
      <w:tr w:rsidR="005A040A">
        <w:trPr>
          <w:trHeight w:val="97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03.0000.301.02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 18.1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przewlekłe wirusowe zapalenia wątroby typu B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INTERFERON PEGYLOWANY ALFA-2A, LAMIWUDYNA, ENTEKAWIR, TENOFOWIR</w:t>
            </w:r>
          </w:p>
        </w:tc>
      </w:tr>
      <w:tr w:rsidR="005A040A">
        <w:trPr>
          <w:trHeight w:val="78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03.0000.304.02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 18, C 19, C 20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zaawansowanego raka jelita grubego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CETUKSYMAB, PANITUMUMAB, AFLIBERCEPT, TRIFLURYDYNA + TYPIRACYL, IPILIMUMAB, NIWOLUMAB, PEMBROLIZUMAB</w:t>
            </w:r>
          </w:p>
        </w:tc>
      </w:tr>
      <w:tr w:rsidR="005A040A">
        <w:trPr>
          <w:trHeight w:val="57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03.0000.305.02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 22.0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raka wątrobowokomórkowego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KABOZANYTYNIB, ATEZOLIZUMAB</w:t>
            </w:r>
          </w:p>
        </w:tc>
      </w:tr>
      <w:tr w:rsidR="005A040A">
        <w:trPr>
          <w:trHeight w:val="10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03.0000.306.02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B.6.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 34, C 45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chorych </w:t>
            </w:r>
            <w:r>
              <w:rPr>
                <w:b/>
                <w:sz w:val="16"/>
              </w:rPr>
              <w:t>na raka płuca oraz międzybłoniaka opłucnej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KRYZOTYNIB, OZYMERTYNIB, NIWOLUMAB, PEMBROLIZUMAB, ATEZOLIZUMAB, AFATYNIB, NINTEDANIB, ALEKTYNIB, CERYTYNIB, BRYGATYNIB, DURWALUMAB, LORLATYNIB, ENTREKTYNIB, CEMIPLIMAB, IPILIMUMAB, SOTORASIB</w:t>
            </w:r>
          </w:p>
        </w:tc>
      </w:tr>
      <w:tr w:rsidR="005A040A">
        <w:trPr>
          <w:trHeight w:val="70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03.0000.308.02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B.8.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 48, C 49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mięsaki tkanek miękkich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TRABEKTEDYNA, PAZOPANIB</w:t>
            </w:r>
          </w:p>
        </w:tc>
      </w:tr>
      <w:tr w:rsidR="005A040A">
        <w:trPr>
          <w:trHeight w:val="8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03.0000.309.02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B.9.FM.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 50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raka piersi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 xml:space="preserve">TRASTUZUMAB S.C., LAPATYNIB, PERTUZUMAB, PALBOCYKLIB, RYBOCYKLIB, TRASTUZUMAB EMTAZYNA, ABEMACYKLIB, </w:t>
            </w:r>
            <w:r>
              <w:rPr>
                <w:sz w:val="16"/>
              </w:rPr>
              <w:t>ALPELISYB, SACYTUZUMAB GOWITEKAN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TALAZOPARYB, TUKATYNIB, PEMBROLIZUMAB</w:t>
            </w:r>
          </w:p>
        </w:tc>
      </w:tr>
      <w:tr w:rsidR="005A040A">
        <w:trPr>
          <w:trHeight w:val="81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03.0000.310.02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 64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pacjentów z rakiem nerki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PAZOPANIB, AKSYTYNIB, TEMSYROLIMUS, KABOZANTINIB, NIWOLUMAB, IPILIMUMAB, PEMBROLIZUMAB</w:t>
            </w:r>
          </w:p>
        </w:tc>
      </w:tr>
      <w:tr w:rsidR="005A040A">
        <w:trPr>
          <w:trHeight w:val="69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lastRenderedPageBreak/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03.0000.312.02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B.12.FM.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 xml:space="preserve">C82, </w:t>
            </w:r>
            <w:r>
              <w:rPr>
                <w:sz w:val="16"/>
              </w:rPr>
              <w:t>C83, C85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chłoniaki B - komórkowe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OBINUTUZUMAB, AKSYKABTAGEN CYLOLEUCELU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>, PIKSANTRON, POLATUZUMAB WEDOTYNY, TISAGENLECLEUCEL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>, TAFASYTAMAB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IBRUTYNIB, BREKSUKABTAGEN AUTOLEUCEL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5A040A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03.0000.314.02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 92.1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chorych na </w:t>
            </w:r>
            <w:r>
              <w:rPr>
                <w:b/>
                <w:sz w:val="16"/>
              </w:rPr>
              <w:t>przewlekłą białaczkę szpikową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DASATYNIB, NILOTYNIB, BOSUTYNIB, PONATYNIB</w:t>
            </w:r>
          </w:p>
        </w:tc>
      </w:tr>
      <w:tr w:rsidR="005A040A">
        <w:trPr>
          <w:trHeight w:val="105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03.0000.315.02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D 66, D 67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Zapobieganie krwawieniom u dzieci z hemofilią A i B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Koncentrat czynnika krzepnięcia VIII,</w:t>
            </w:r>
          </w:p>
          <w:p w:rsidR="005A040A" w:rsidRDefault="003F344E">
            <w:pPr>
              <w:jc w:val="center"/>
            </w:pPr>
            <w:r>
              <w:rPr>
                <w:sz w:val="16"/>
              </w:rPr>
              <w:t>Koncentrat czynnika krzepnięcia IX</w:t>
            </w:r>
          </w:p>
        </w:tc>
      </w:tr>
      <w:tr w:rsidR="005A040A">
        <w:trPr>
          <w:trHeight w:val="15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03.0000.317.02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D 80, W TYM: D 80.0, D 80.1, D 80.3, D 80.4, D 80.5, D 80.6, D 80.8, D 80.9, D 81 W CAŁOŚCI, D 82, W TYM: D 82.0, D 82.1, D 82.3, D 82.8, D 82.9, D 83, W TYM: D 83.0, D 83.1, D 83.3, D 83.8, D 83.9, D 89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pierwotnych niedoborów odporności u d</w:t>
            </w:r>
            <w:r>
              <w:rPr>
                <w:b/>
                <w:sz w:val="16"/>
              </w:rPr>
              <w:t>zieci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IMMUNOGLOBULINY</w:t>
            </w:r>
          </w:p>
        </w:tc>
      </w:tr>
      <w:tr w:rsidR="005A040A">
        <w:trPr>
          <w:trHeight w:val="99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03.0000.318.02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B.18.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 22.8, E 30.9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przedwczesnego dojrzewania płciowego u dzieci lub zagrażającej patologicznej niskorosłości na skutek szybko postępującego dojrzewania płciowego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TRIPTORELINA</w:t>
            </w:r>
          </w:p>
        </w:tc>
      </w:tr>
      <w:tr w:rsidR="005A040A">
        <w:trPr>
          <w:trHeight w:val="97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03.0000.319.02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B.19.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 xml:space="preserve">E </w:t>
            </w:r>
            <w:r>
              <w:rPr>
                <w:sz w:val="16"/>
              </w:rPr>
              <w:t>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niskorosłych dzieci z somatotropinową niedoczynnością przysadki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5A040A">
        <w:trPr>
          <w:trHeight w:val="97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03.0000.320.02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B.20.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 34.3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niskorosłych dzieci z ciężkim pierwotnym niedoborem IGF-1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MEKASERMINA</w:t>
            </w:r>
          </w:p>
        </w:tc>
      </w:tr>
      <w:tr w:rsidR="005A040A">
        <w:trPr>
          <w:trHeight w:val="97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03.0000.321.02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B.21.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 72.1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ciężkich </w:t>
            </w:r>
            <w:r>
              <w:rPr>
                <w:b/>
                <w:sz w:val="16"/>
              </w:rPr>
              <w:t>wrodzonych hiperhomocysteinemii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BETAINA BEZWODNA</w:t>
            </w:r>
          </w:p>
        </w:tc>
      </w:tr>
      <w:tr w:rsidR="005A040A">
        <w:trPr>
          <w:trHeight w:val="64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03.0000.322.02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B.22.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 74.0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choroby Pompego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ALGLUKOZYDAZA ALFA</w:t>
            </w:r>
          </w:p>
        </w:tc>
      </w:tr>
      <w:tr w:rsidR="005A040A">
        <w:trPr>
          <w:trHeight w:val="7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03.0000.323.02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B.23.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choroby Gauchera typu I oraz typu III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IMIGLUCERAZA, ELIGLUSTAT, WELAGLUCERAZA ALFA</w:t>
            </w:r>
          </w:p>
        </w:tc>
      </w:tr>
      <w:tr w:rsidR="005A040A">
        <w:trPr>
          <w:trHeight w:val="61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03.0000.324.02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B.24.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 76.0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choroby Hurler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LARONIDAZA</w:t>
            </w:r>
          </w:p>
        </w:tc>
      </w:tr>
      <w:tr w:rsidR="005A040A">
        <w:trPr>
          <w:trHeight w:val="96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03.0000.325.02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B.25.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 76.1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mukopolisacharydozy typu II (zespół Huntera)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IDURSULFAZA</w:t>
            </w:r>
          </w:p>
        </w:tc>
      </w:tr>
      <w:tr w:rsidR="005A040A">
        <w:trPr>
          <w:trHeight w:val="96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03.0000.327.02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B.27.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 84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przewlekłych zakażeń płuc u świadczeniobiorców </w:t>
            </w:r>
            <w:r>
              <w:rPr>
                <w:b/>
                <w:sz w:val="16"/>
              </w:rPr>
              <w:t>z mukowiscydozą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TOBRAMYCYNA, LEWOFLOKSACYNA</w:t>
            </w:r>
          </w:p>
        </w:tc>
      </w:tr>
      <w:tr w:rsidR="005A040A">
        <w:trPr>
          <w:trHeight w:val="96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03.0000.328.02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B.28.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G 24.3, G 24.4, G 24.5, G 51.3, G 24.8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dystonii ogniskowych i połowiczego kurczu twarzy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 w:rsidR="005A040A">
        <w:trPr>
          <w:trHeight w:val="111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03.0000.329.02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B.29.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G 35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chorych na stwardnienie </w:t>
            </w:r>
            <w:r>
              <w:rPr>
                <w:b/>
                <w:sz w:val="16"/>
              </w:rPr>
              <w:t>rozsiane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INTERFERON BETA, OCTAN GLATIRAMERU, FUMARAN DIMETYLU, PEGINTERFERON BETA-1A, TERYFLUNOMID, OFATUMUMAB, OZANIMOD, PONESIMODUM, SIPONIMOD, ALEMTUZUMAB, KLADRYBINA, FINGOLIMOD, NATALIZUMAB, OKRELIZUMAB</w:t>
            </w:r>
          </w:p>
        </w:tc>
      </w:tr>
      <w:tr w:rsidR="005A040A">
        <w:trPr>
          <w:trHeight w:val="100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03.0000.330.02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B.30.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G 80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spastyczn</w:t>
            </w:r>
            <w:r>
              <w:rPr>
                <w:b/>
                <w:sz w:val="16"/>
              </w:rPr>
              <w:t>ości w mózgowym porażeniu dziecięcym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 w:rsidR="005A040A">
        <w:trPr>
          <w:trHeight w:val="100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03.0000.331.02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B.31.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I 27, I 27.0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tętniczego nadciśnienia płucnego (TNP)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ILOPROST, BOSENTAN, TREPROSTINIL, SILDENAFIL, EPOPROSTENOL, MACYTENTAN, RIOCYGUAT, SELEKSYPAG</w:t>
            </w:r>
          </w:p>
        </w:tc>
      </w:tr>
      <w:tr w:rsidR="005A040A">
        <w:trPr>
          <w:trHeight w:val="100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03.0000.332.02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B.32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K 50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pacjentów z chorobą Leśniowskiego-Crohna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INFLIKSYMAB, ADALIMUMAB, USTEKINUMAB, WEDOLIZUMAB</w:t>
            </w:r>
          </w:p>
        </w:tc>
      </w:tr>
      <w:tr w:rsidR="005A040A">
        <w:trPr>
          <w:trHeight w:val="299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26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03.0000.333.02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B.33.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M 05, M 06, M 08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chorych z aktywną postacią reumatoidalnego zapalenia stawów i młodzieńczego </w:t>
            </w:r>
            <w:r>
              <w:rPr>
                <w:b/>
                <w:sz w:val="16"/>
              </w:rPr>
              <w:t>idiopatycznego zapalenia stawów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INFLIKSYMAB, ETANERCEPT, ADALIMUMAB, RYTUKSYMAB, GOLIMUMAB, CERTOLIZUMAB PEGOL, TOCILIZUMAB, TOFACYTYNIB, BARICYTYNIB, UPADACYTYNIB, ANAKINRA, FILGOTYNIB, SEKUKINUMAB</w:t>
            </w:r>
          </w:p>
        </w:tc>
      </w:tr>
      <w:tr w:rsidR="005A040A">
        <w:trPr>
          <w:trHeight w:val="93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27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03.0000.335.02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B.35.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L 40.5, M 07.1, M 07.2, M 07.3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</w:t>
            </w:r>
            <w:r>
              <w:rPr>
                <w:b/>
                <w:sz w:val="16"/>
              </w:rPr>
              <w:t>eczenie chorych z łuszczycowym zapaleniem stawów (ŁZS)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INFLIKSYMAB, ETANERCEPT, ADALIMUMAB, GOLIMUMAB, CERTOLIZUMAB PEGOL, SEKUKINUMAB, TOFACYTYNIB, IKSEKIZUMAB, UPADACYTYNIB, RYZANKIZUMAB, GUSELKUMAB</w:t>
            </w:r>
          </w:p>
        </w:tc>
      </w:tr>
      <w:tr w:rsidR="005A040A">
        <w:trPr>
          <w:trHeight w:val="129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28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03.0000.336.02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B.36.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M 45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chorych z </w:t>
            </w:r>
            <w:r>
              <w:rPr>
                <w:b/>
                <w:sz w:val="16"/>
              </w:rPr>
              <w:t>aktywną postacią zesztywniającego zapalenia stawów kręgosłupa (ZZSK)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INFLIKSYMAB, ETANERCEPT, ADALIMUMAB, GOLIMUMAB, CERTOLIZUMAB PEGOL, SEKUKINUMAB, UPADACYTYNIB, IKSEKIZUMAB, TOFACYTYNIB</w:t>
            </w:r>
          </w:p>
        </w:tc>
      </w:tr>
      <w:tr w:rsidR="005A040A">
        <w:trPr>
          <w:trHeight w:val="967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29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03.0000.337.02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B.37.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niedokrwistości u chorych z </w:t>
            </w:r>
            <w:r>
              <w:rPr>
                <w:b/>
                <w:sz w:val="16"/>
              </w:rPr>
              <w:t>przewlekłą niewydolnością nerek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EPOETYNA ALFA, DARBEPOETYNA ALFA, ROKSADUSTAT</w:t>
            </w:r>
          </w:p>
        </w:tc>
      </w:tr>
      <w:tr w:rsidR="005A040A">
        <w:trPr>
          <w:trHeight w:val="108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03.0000.338.02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B.38.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niskorosłych dzieci z przewlekłą niewydolnością nerek (PNN)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5A040A">
        <w:trPr>
          <w:trHeight w:val="1077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31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03.0000.339.02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B.39.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N 25.8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wtórnej nadczynności </w:t>
            </w:r>
            <w:r>
              <w:rPr>
                <w:b/>
                <w:sz w:val="16"/>
              </w:rPr>
              <w:t>przytarczyc u pacjentów leczonych nerkozastępczo dializami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CYNAKALCET, PARYKALCYTOL</w:t>
            </w:r>
          </w:p>
        </w:tc>
      </w:tr>
      <w:tr w:rsidR="005A040A">
        <w:trPr>
          <w:trHeight w:val="81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32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03.0000.340.02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B.40.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P 07.2, P 07.3, P 27.1, P07.0, P07.1, Q20-Q24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Profilaktyka zakażeń wirusem RS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PALIWIZUMAB</w:t>
            </w:r>
          </w:p>
        </w:tc>
      </w:tr>
      <w:tr w:rsidR="005A040A">
        <w:trPr>
          <w:trHeight w:val="50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03.0000.341.02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B.41.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Q 87.1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zespołu Prader -</w:t>
            </w:r>
            <w:r>
              <w:rPr>
                <w:b/>
                <w:sz w:val="16"/>
              </w:rPr>
              <w:t xml:space="preserve"> Willi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5A040A">
        <w:trPr>
          <w:trHeight w:val="70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34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03.0000.342.02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B.42.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Q 96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niskorosłych dzieci z Zespołem Turnera (ZT)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5A040A">
        <w:trPr>
          <w:trHeight w:val="69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03.0000.344.02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B.44.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J 45, J 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z ciężką postacią astmy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OMALIZUMAB, MEPOLIZUMAB, BENRALIZUMAB, DUPILUMAB</w:t>
            </w:r>
          </w:p>
        </w:tc>
      </w:tr>
      <w:tr w:rsidR="005A040A">
        <w:trPr>
          <w:trHeight w:val="81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36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03.0000.347.02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B.47.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L 40.0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z umiarkowaną i ciężką postacią łuszczycy plackowatej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USTEKINUMAB, ADALIMUMAB, ETANERCEPT, INFLIKSYMAB, IKSEKIZUMAB, SEKUKINUMAB, GUSELKUMAB, RYZANKIZUMAB, CERTOLIZUMAB PEGOL, TYLDRAKIZUMAB, BIMEKIZUMAB</w:t>
            </w:r>
          </w:p>
        </w:tc>
      </w:tr>
      <w:tr w:rsidR="005A040A">
        <w:trPr>
          <w:trHeight w:val="84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37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03.0000.350.02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B.50.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 xml:space="preserve">C 48, C 56, C 57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raka jajnika, raka jajowodu lub raka otrzewnej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OLAPARYB, NIRAPARYB</w:t>
            </w:r>
          </w:p>
        </w:tc>
      </w:tr>
      <w:tr w:rsidR="005A040A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38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03.0000.352.02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B.52.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 xml:space="preserve">C 00, C 01, C 02, C 03, C 04, C 05, C 05.0, C 05.1, C 05.2, C 05.8, C 05.9, C 06, C 07, C 08, C 09, C </w:t>
            </w:r>
            <w:r>
              <w:rPr>
                <w:sz w:val="16"/>
              </w:rPr>
              <w:t>09.0, C 09.1, C 09.8, C 09.9, C 10, C 10.0, C 10.1, C 10.2, C 10.3, C 10.4, C 10.8, C 10.9, C 12, C 13, C 13.0, C 13.1, C 13.2, C 13.8, C 13.9, C 14, C 32, C 32.0, C 32.1, C 32.2, C 32.3, C32.8, C 32.9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płaskonabłonkowego raka narządów głowy i szyi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CETUKSYMAB, NIWOLUMAB, PEMBROLIZUMAB</w:t>
            </w:r>
          </w:p>
        </w:tc>
      </w:tr>
      <w:tr w:rsidR="005A040A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39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03.0000.354.02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B.54.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 90.0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szpiczaka plazmocytowego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POMALIDOMID, DARATUMUMAB, KARFILZOMIB, IKSAZOMIB, ELOTUZUMAB, IZATUKSYMAB</w:t>
            </w:r>
          </w:p>
        </w:tc>
      </w:tr>
      <w:tr w:rsidR="005A040A">
        <w:trPr>
          <w:trHeight w:val="87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03.0000.355.02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B.55.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K 51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pacjentów z wrzodziejącym </w:t>
            </w:r>
            <w:r>
              <w:rPr>
                <w:b/>
                <w:sz w:val="16"/>
              </w:rPr>
              <w:t>zapaleniem jelita grubego (WZJG)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INFLIKSYMAB, WEDOLIZUMAB, TOFACYTYNIB, USTEKINUMAB, FILGOTYNIB, OZANIMOD</w:t>
            </w:r>
          </w:p>
        </w:tc>
      </w:tr>
      <w:tr w:rsidR="005A040A">
        <w:trPr>
          <w:trHeight w:val="94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41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03.0000.356.02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B.56.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 61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raka gruczołu krokowego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 xml:space="preserve">ENZALUTAMID, DICHLOREK RADU RA-223, APALUTAMID, DAROLUTAMID, KABAZYTAKSEL, </w:t>
            </w:r>
            <w:r>
              <w:rPr>
                <w:sz w:val="16"/>
              </w:rPr>
              <w:t>OLAPARYB</w:t>
            </w:r>
          </w:p>
        </w:tc>
      </w:tr>
      <w:tr w:rsidR="005A040A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03.0000.357.02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B.57.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I 61, I 63, I 69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spastyczności kończyny górnej i/lub dolnej po udarze mózgu z użyciem toksyny botulinowej typu A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 w:rsidR="005A040A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43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03.0000.358.02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B.58.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 15, C 16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chorych na raka przełyku, </w:t>
            </w:r>
            <w:r>
              <w:rPr>
                <w:b/>
                <w:sz w:val="16"/>
              </w:rPr>
              <w:t>połączenia żołądkowo-przełykowego i żołądka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RAMUCIRUMABUM, NIWOLUMAB, PEMBROLIZUMAB, IPILIMUMAB, TRIFLURYDYNA + TYPIRACYL</w:t>
            </w:r>
          </w:p>
        </w:tc>
      </w:tr>
      <w:tr w:rsidR="005A040A">
        <w:trPr>
          <w:trHeight w:val="97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44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03.0000.359.02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B.59.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 43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czerniaka skóry lub błon śluzowych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 xml:space="preserve">NIWOLUMAB, PEMBROLIZUMAB, WEMURAFENIB, </w:t>
            </w:r>
            <w:r>
              <w:rPr>
                <w:sz w:val="16"/>
              </w:rPr>
              <w:t>KOBIMETYNIB, DABRAFENIB, TRAMETYNIB, BINIMETYNIB, ENKORAFENIB, IPILIMUMAB</w:t>
            </w:r>
          </w:p>
        </w:tc>
      </w:tr>
      <w:tr w:rsidR="005A040A">
        <w:trPr>
          <w:trHeight w:val="85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45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03.0000.361.02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B.61.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E72.0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cystynozę nefropatyczną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CYSTEAMINA</w:t>
            </w:r>
          </w:p>
        </w:tc>
      </w:tr>
      <w:tr w:rsidR="005A040A">
        <w:trPr>
          <w:trHeight w:val="36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46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03.0000.362.02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B.62.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 xml:space="preserve">D 80, w tym: D 80.0, D 80.1, D 80.3, D 80.4, D 80.5, D 80.6, D 80.8, </w:t>
            </w:r>
            <w:r>
              <w:rPr>
                <w:sz w:val="16"/>
              </w:rPr>
              <w:t>D 80.9; D 81.9;</w:t>
            </w:r>
          </w:p>
          <w:p w:rsidR="005A040A" w:rsidRDefault="003F344E">
            <w:pPr>
              <w:jc w:val="center"/>
            </w:pPr>
            <w:r>
              <w:rPr>
                <w:sz w:val="16"/>
              </w:rPr>
              <w:t>D 82 w tym: D 82.0, D 82.1, D 82.3, D 82.8, D 82.9;</w:t>
            </w:r>
          </w:p>
          <w:p w:rsidR="005A040A" w:rsidRDefault="003F344E">
            <w:pPr>
              <w:jc w:val="center"/>
            </w:pPr>
            <w:r>
              <w:rPr>
                <w:sz w:val="16"/>
              </w:rPr>
              <w:t>D 83 w tym: D 83.0, D 83.1, D 83.8, D 83.9; D 89.9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pierwotnych niedoborów odporności (PNO) u pacjentów dorosłych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IMMUNOGLOBULINY</w:t>
            </w:r>
          </w:p>
        </w:tc>
      </w:tr>
      <w:tr w:rsidR="005A040A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47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03.0000.364.02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B.64.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R 62.9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hormonem wzrostu niskorosłych dzieci urodzonych jako zbyt małe w porównaniu do czasu trwania ciąży (SGA lub IUGR)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5A040A">
        <w:trPr>
          <w:trHeight w:val="82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48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03.0000.365.02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B.65.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 91.0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ostrą białaczkę limfoblastyczną</w:t>
            </w:r>
            <w:r>
              <w:rPr>
                <w:b/>
                <w:sz w:val="16"/>
                <w:vertAlign w:val="superscript"/>
              </w:rPr>
              <w:t xml:space="preserve">1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 xml:space="preserve">DASATYNIB, BLINATUMOMAB, </w:t>
            </w:r>
            <w:r>
              <w:rPr>
                <w:sz w:val="16"/>
              </w:rPr>
              <w:t>PONATYNIB, INOTUZUMAB OZOGAMYCYNY, TISAGENLECLEUCEL</w:t>
            </w:r>
          </w:p>
        </w:tc>
      </w:tr>
      <w:tr w:rsidR="005A040A">
        <w:trPr>
          <w:trHeight w:val="829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49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03.0000.366.02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B.66.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 84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chorych na chłoniaki T – komórkowe </w:t>
            </w:r>
            <w:r>
              <w:rPr>
                <w:b/>
                <w:sz w:val="16"/>
                <w:vertAlign w:val="superscript"/>
              </w:rPr>
              <w:t xml:space="preserve">1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BEKSAROTEN, BRENTUKSYMAB VEDOTIN</w:t>
            </w:r>
          </w:p>
        </w:tc>
      </w:tr>
      <w:tr w:rsidR="005A040A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03.0000.367.02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B.67.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G 61.8, G 62.8, G 63.1, G 70, G 04.8, G 73.1, G 73.2, G 72.4, G 61.0,</w:t>
            </w:r>
            <w:r>
              <w:rPr>
                <w:sz w:val="16"/>
              </w:rPr>
              <w:t xml:space="preserve"> G 36.0, M 33.0, M 33.1, M 33.2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immunoglobulinami chorób neurologicznych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IMMUNOGLOBULINY</w:t>
            </w:r>
          </w:p>
        </w:tc>
      </w:tr>
      <w:tr w:rsidR="005A040A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03.0000.370.02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B.70.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H35.3, H36.0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pacjentów z chorobami siatkówki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AFLIBERCEPT, RANIBIZUMAB, BROLUCIZUMAB, BEWACYZUMAB, DEKSAMETAZON</w:t>
            </w:r>
          </w:p>
        </w:tc>
      </w:tr>
      <w:tr w:rsidR="005A040A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52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03.0000.371.02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B.71.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 18.2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terapią bezinterferonową chorych na przewlekłe wirusowe zapalenie wątroby typu C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LEDIPASWIR + SOFOSBUWIR, ELBASWIR + GRAZOPREWIR, SOFOSBUWIR + WELPATASWIR, GLECAPREWIR + PIBRENTASWIR, SOFOSBUWIR + WELPATASWIR + WOKSYLEP</w:t>
            </w:r>
            <w:r>
              <w:rPr>
                <w:sz w:val="16"/>
              </w:rPr>
              <w:t>REWIR</w:t>
            </w:r>
          </w:p>
        </w:tc>
      </w:tr>
      <w:tr w:rsidR="005A040A">
        <w:trPr>
          <w:trHeight w:val="69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53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03.0000.373.02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B.73.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N 31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neurogennej nadreaktywności wypieracza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 w:rsidR="005A040A">
        <w:trPr>
          <w:trHeight w:val="83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54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03.0000.374.02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B.74.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I 27, I 27.0 i/lub I 26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przewlekłego zakrzepowo-zatorowego nadciśnienia płucnego (CTEPH)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RIOCYGUAT</w:t>
            </w:r>
          </w:p>
        </w:tc>
      </w:tr>
      <w:tr w:rsidR="005A040A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55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03.0000.375.02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B.75.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M 31.3, M 31.8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aktywną postać ziarniniakowatości z zapaleniem naczyń (GPA) lub mikroskopowe zapalenie naczyń (MPA)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RYTUKSYMAB</w:t>
            </w:r>
          </w:p>
        </w:tc>
      </w:tr>
      <w:tr w:rsidR="005A040A">
        <w:trPr>
          <w:trHeight w:val="54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03.0000.376.02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B.76.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 70.2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tyrozynemii typu 1(HT-1)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NITYZYNON</w:t>
            </w:r>
          </w:p>
        </w:tc>
      </w:tr>
      <w:tr w:rsidR="005A040A">
        <w:trPr>
          <w:trHeight w:val="72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57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03.0000.377.02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B.77.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 81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klasycznego chłoniaka Hodgkina CD30+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BRENTUKSYMAB VEDOTIN, NIWOLUMAB</w:t>
            </w:r>
          </w:p>
        </w:tc>
      </w:tr>
      <w:tr w:rsidR="005A040A">
        <w:trPr>
          <w:trHeight w:val="7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58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03.0000.379.02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B.79.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 91.1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przewlekłą białaczkę limfocytową</w:t>
            </w:r>
            <w:r>
              <w:rPr>
                <w:b/>
                <w:sz w:val="16"/>
                <w:vertAlign w:val="superscript"/>
              </w:rPr>
              <w:t xml:space="preserve">1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OBINUTUZUMAB, AKALABRUTYNIB, IBRUTYNIB, WENETOKLAKS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59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03.0000.381.02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B.81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D 47.1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mielofibrozy pierwotnej oraz mielofibrozy wtórnej w przebiegu czerwienicy prawdziwej i nadpłytkowości samoistnej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RUKSOLITYNIB, FEDRATYNIB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60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03.0000.382.02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B.82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M 46.8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pacjentów z aktywną postacią </w:t>
            </w:r>
            <w:r>
              <w:rPr>
                <w:b/>
                <w:sz w:val="16"/>
              </w:rPr>
              <w:t>spondyloartropatii (SpA) bez zmian radiograficznych charakterystycznych dla ZZSK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CERTOLIZUMAB PEGOL, ETANERCEPT, IKSEKIZUMAB, SEKUKINUMAB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61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03.0000.385.02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B.85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 25.0, C 25.1,</w:t>
            </w:r>
          </w:p>
          <w:p w:rsidR="005A040A" w:rsidRDefault="003F344E">
            <w:pPr>
              <w:jc w:val="center"/>
            </w:pPr>
            <w:r>
              <w:rPr>
                <w:sz w:val="16"/>
              </w:rPr>
              <w:t>C 25.2, C 25.3,</w:t>
            </w:r>
          </w:p>
          <w:p w:rsidR="005A040A" w:rsidRDefault="003F344E">
            <w:pPr>
              <w:jc w:val="center"/>
            </w:pPr>
            <w:r>
              <w:rPr>
                <w:sz w:val="16"/>
              </w:rPr>
              <w:t>C 25.5, C 25.6,</w:t>
            </w:r>
          </w:p>
          <w:p w:rsidR="005A040A" w:rsidRDefault="003F344E">
            <w:pPr>
              <w:jc w:val="center"/>
            </w:pPr>
            <w:r>
              <w:rPr>
                <w:sz w:val="16"/>
              </w:rPr>
              <w:t>C 25.7, C 25.8,</w:t>
            </w:r>
          </w:p>
          <w:p w:rsidR="005A040A" w:rsidRDefault="003F344E">
            <w:pPr>
              <w:jc w:val="center"/>
            </w:pPr>
            <w:r>
              <w:rPr>
                <w:sz w:val="16"/>
              </w:rPr>
              <w:t>C 25.9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pacjentów z gr</w:t>
            </w:r>
            <w:r>
              <w:rPr>
                <w:b/>
                <w:sz w:val="16"/>
              </w:rPr>
              <w:t>uczolakorakiem trzustki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PAKLITAKSEL Z ALBUMINĄ, OLAPARYB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62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03.0000.386.02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B.86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 85, R 50.9, D 89.8, D 89.9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pacjentów z wrodzonymi zespołami autozapalnymi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ANAKINRA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63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03.0000.387.02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B.87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J 84.1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idiopatycznego włóknienia płuc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PIRFENIDON, NINTEDANIB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64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03.0000.388.02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B.88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 44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pacjentów chorych na raka podstawnokomórkowego skóry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WISMODEGIB, CEMIPLIMAB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03.0000.389.02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B.89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Q 85.1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ewerolimusem chorych na stwardnienie guzowate z niekwalifikującymi się do leczenia operacyjnego guzami podwyściółkowymi olbrzymiokomórkowymi (SEGA)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EWEROLIMUS</w:t>
            </w:r>
          </w:p>
        </w:tc>
      </w:tr>
      <w:tr w:rsidR="005A040A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03.0000.390.02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B.90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G 20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zaburzeń motorycznych w przebiegu zaawansowanej choroby Parkinsona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LEWODOPA + KARBIDOPA, APOMORFINA</w:t>
            </w:r>
          </w:p>
        </w:tc>
      </w:tr>
      <w:tr w:rsidR="005A040A">
        <w:trPr>
          <w:trHeight w:val="8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67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03.0000.395.02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B.95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D 59.3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z atypowym zespołem hemolityczno-mocznicowym (aHUS)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EKULIZUMAB, RAWULIZUMAB</w:t>
            </w:r>
          </w:p>
        </w:tc>
      </w:tr>
      <w:tr w:rsidR="005A040A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03.0000.396.02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B.96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D 59.5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z nocną napadową hemoglobinurią (PNH)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EKULIZUMAB, PEGCETAKOPLAN, RAWULIZUMAB</w:t>
            </w:r>
          </w:p>
        </w:tc>
      </w:tr>
      <w:tr w:rsidR="005A040A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69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03.0000.397.02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B.97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dorosłych chorych na pierwotną małopłytkowość immunologiczną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ELTROMBOPAG, ROMIPLOSTYM, AWATROMBOPAG</w:t>
            </w:r>
          </w:p>
        </w:tc>
      </w:tr>
      <w:tr w:rsidR="005A040A">
        <w:trPr>
          <w:trHeight w:val="84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03.0000.398.02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B.98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pediatrycznych chorych na pierwotną małopłytkowość immunologiczną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ELTROMBOPAG, ROMIPLOSTYM</w:t>
            </w:r>
          </w:p>
        </w:tc>
      </w:tr>
      <w:tr w:rsidR="005A040A">
        <w:trPr>
          <w:trHeight w:val="69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71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03.0000.399.02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B.99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 22.0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akromegalii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PASYREOTYD, PEGWISOMANT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72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03.0000.401.02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B.101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 78.01, I21, I22, I25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pacjentów z zaburzeniami lipidowymi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ALIROKUMAB, EWOLOKUMAB, INKLISIRAN, LOMITAPID</w:t>
            </w:r>
          </w:p>
        </w:tc>
      </w:tr>
      <w:tr w:rsidR="005A040A">
        <w:trPr>
          <w:trHeight w:val="84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73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03.0000.402.02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B.102.FM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G 12.0, G 12.1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rdzeniowy zanik mięśni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NUSINERSEN, RYSDYPLAM, ONASEMNOGEN ABEPARWOWEK</w:t>
            </w:r>
            <w:r>
              <w:rPr>
                <w:sz w:val="16"/>
                <w:vertAlign w:val="superscript"/>
              </w:rPr>
              <w:t xml:space="preserve">2 </w:t>
            </w:r>
          </w:p>
        </w:tc>
      </w:tr>
      <w:tr w:rsidR="005A040A">
        <w:trPr>
          <w:trHeight w:val="7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74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03.0000.404.02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B.104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 xml:space="preserve">E </w:t>
            </w:r>
            <w:r>
              <w:rPr>
                <w:sz w:val="16"/>
              </w:rPr>
              <w:t>75.2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choroby Fabry’ego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AGALZYDAZA ALFA, AGALZYDAZA BETA, MIGALASTATUM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75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03.0000.405.02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B.105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H 20.0, H 30.0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zapalenie błony naczyniowej oka (ZBN)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ADALIMUMAB, DEKSAMETAZON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76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03.0000.406.02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B.106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 xml:space="preserve">B 18.0, B 18.1, B 18.9, B </w:t>
            </w:r>
            <w:r>
              <w:rPr>
                <w:sz w:val="16"/>
              </w:rPr>
              <w:t>19.0, B 19.9, C 22.0, C 82, C 83, C 85, C 90.0, C 91, C 92, D 45, D 47, D 75, Z 94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Profilaktyka reaktywacji wirusowego zapalenia wątroby typu b u świadczeniobiorców po przeszczepach lub u świadczeniobiorców otrzymujących leczenie związane z ryzykiem reakty</w:t>
            </w:r>
            <w:r>
              <w:rPr>
                <w:b/>
                <w:sz w:val="16"/>
              </w:rPr>
              <w:t xml:space="preserve">wacji HBV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ENTEKAWIR, TENOFOWIR</w:t>
            </w:r>
          </w:p>
        </w:tc>
      </w:tr>
      <w:tr w:rsidR="005A040A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77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03.0000.407.02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B.107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L 50.1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z przewlekłą pokrzywką spontaniczną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OMALIZUMAB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78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03.0000.408.02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B.108.FM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 73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pacjentów z rakiem rdzeniastym tarczycy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WANDETANIB, SELPERKATYNIB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79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03.0000.409.02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B.109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 71.1, E 71.3, E 72.3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uzupełniające L-karnityną w wybranych chorobach metabolicznych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L-KARNITYNA</w:t>
            </w:r>
          </w:p>
        </w:tc>
      </w:tr>
      <w:tr w:rsidR="005A040A">
        <w:trPr>
          <w:trHeight w:val="84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80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03.0000.410.02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B.110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C47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dinutuksymabem beta pacjentów z nerwiakiem zarodkowym współczulnym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DINUTUKSYMAB BETA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81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03.0000.411.02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B.111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E23.0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82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03.0000.412.02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B.112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E84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mukowiscydozę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IWAKAFTOR, IWAKAFTOR + LUMAKAFTOR,</w:t>
            </w:r>
          </w:p>
          <w:p w:rsidR="005A040A" w:rsidRDefault="003F344E">
            <w:pPr>
              <w:jc w:val="center"/>
            </w:pPr>
            <w:r>
              <w:rPr>
                <w:sz w:val="16"/>
              </w:rPr>
              <w:t>IWAKAFTOR + TEZAKAFTOR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>,</w:t>
            </w:r>
          </w:p>
          <w:p w:rsidR="005A040A" w:rsidRDefault="003F344E">
            <w:pPr>
              <w:jc w:val="center"/>
            </w:pPr>
            <w:r>
              <w:rPr>
                <w:sz w:val="16"/>
              </w:rPr>
              <w:t>IWAKAFTOR + TEZAKAFTOR + ELEKSAKAFTOR</w:t>
            </w:r>
            <w:r>
              <w:rPr>
                <w:sz w:val="16"/>
                <w:vertAlign w:val="superscript"/>
              </w:rPr>
              <w:t>3</w:t>
            </w:r>
          </w:p>
        </w:tc>
      </w:tr>
      <w:tr w:rsidR="005A040A">
        <w:trPr>
          <w:trHeight w:val="7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83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03.0000.413.02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B.113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pacjentów z chorobami nerek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KETOANALOGI AMINOKWASÓW</w:t>
            </w:r>
          </w:p>
        </w:tc>
      </w:tr>
      <w:tr w:rsidR="005A040A">
        <w:trPr>
          <w:trHeight w:val="7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84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03.0000.414.02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B.114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C92.0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ostrą białaczkę szpikową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 xml:space="preserve">MIDOSTAURYNA, GEMTUZUMAB </w:t>
            </w:r>
            <w:r>
              <w:rPr>
                <w:sz w:val="16"/>
              </w:rPr>
              <w:t>OZOGAMYCYNY, GILTERYTYNIB, WENETOKLAKS, AZACYTYDYNA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85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03.0000.415.02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B.115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C96.2, C94.3, D47.9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agresywnej mastocytozy układowej, mastocytozy układowej z współistniejącym nowotworem układu krwiotwórczego oraz białaczki mastocytarnej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MIDOSTAURYNA</w:t>
            </w:r>
          </w:p>
        </w:tc>
      </w:tr>
      <w:tr w:rsidR="005A040A">
        <w:trPr>
          <w:trHeight w:val="7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86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03.0000.417.02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B.117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C44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raka z komórek Merkla awelumabem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AWELUMAB</w:t>
            </w:r>
          </w:p>
        </w:tc>
      </w:tr>
      <w:tr w:rsidR="005A040A">
        <w:trPr>
          <w:trHeight w:val="66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87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03.0000.418.02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B.118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E24.0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pacjentów z chorobą Cushinga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PASYREOTYD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88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03.0000.419.02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B.119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C73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pacjentów ze zróżnicowanym rakiem tarczycy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SORAFENIB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89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03.0000.421.02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B.121.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G73.1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amifamprydyną pacjentów z zespołem miastenicznym Lamberta-Eatona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AMIFAMPRYDYNA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03.0000.422.02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B.122.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D84.1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zapobiegawcze chorych z nawracającymi napadami dziedzicznego obrzęku naczynioruchowego o ciężkim </w:t>
            </w:r>
            <w:r>
              <w:rPr>
                <w:b/>
                <w:sz w:val="16"/>
              </w:rPr>
              <w:t>przebiegu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LANADELUMAB</w:t>
            </w:r>
          </w:p>
        </w:tc>
      </w:tr>
      <w:tr w:rsidR="005A040A">
        <w:trPr>
          <w:trHeight w:val="69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91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03.0000.423.02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B.123.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E83.0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pacjentów z chorobą Wilsona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TRIENTYNA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03.0000.424.02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B.124.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L20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z ciężką postacią atopowego zapalenia skóry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DUPILUMAB, BARICYTYNIB, UPADACYTYNIB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93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03.0000.425.02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B.125.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C44.1, C44.2, C44.3, C44.4, C44.5, C44.6, C44.7, C44.8, C44.9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zaawansowanego raka kolczystokomórkowego skóry cemiplimabem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CEMIPLIMAB</w:t>
            </w:r>
          </w:p>
        </w:tc>
      </w:tr>
      <w:tr w:rsidR="005A040A">
        <w:trPr>
          <w:trHeight w:val="7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94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03.0000.426.02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B.126.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Q61.2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pacjentów z autosomalnie dominującą postacią zwyrodnienia wiel</w:t>
            </w:r>
            <w:r>
              <w:rPr>
                <w:b/>
                <w:sz w:val="16"/>
              </w:rPr>
              <w:t>otorbielowatego nerek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TOLWAPTAN</w:t>
            </w:r>
          </w:p>
        </w:tc>
      </w:tr>
      <w:tr w:rsidR="005A040A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95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03.0000.427.02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B.127.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D61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dorosłych chorych na ciężką anemię aplastyczną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ELTROMBOPAG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96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03.0000.428.02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B.128.FM.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E80.2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chorych na ostrą porfirię wątrobową (AHP) u dorosłych i młodzieży w wieku od 12 </w:t>
            </w:r>
            <w:r>
              <w:rPr>
                <w:b/>
                <w:sz w:val="16"/>
              </w:rPr>
              <w:t>lat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GIWOSYRAN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5A040A">
        <w:trPr>
          <w:trHeight w:val="70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97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03.0000.429.02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B.129.FM.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E74.8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pierwotną hiperoksalurię typu 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LUMAZYRAN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03.0000.430.02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B.130.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G71.0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z dystrofią mięśniową Duchenne’a spowodowaną mutacją nonsensowną w genie dystrofiny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ATALUREN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99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03.0000.431.02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B.131.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D.47.7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pacjentów z idiopatyczną wieloogniskową chorobą Castlemana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SILTUKSYMAB</w:t>
            </w:r>
          </w:p>
        </w:tc>
      </w:tr>
      <w:tr w:rsidR="005A040A">
        <w:trPr>
          <w:trHeight w:val="16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03.0000.432.02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B.132.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C81, C82, C83, C84, C85, C88, C90, C91, C92, C93, C94, C95, C96, C45, D46, D47, D56, D57, D58, D61, D75, D80, D81, D8</w:t>
            </w:r>
            <w:r>
              <w:rPr>
                <w:sz w:val="16"/>
              </w:rPr>
              <w:t>2, D84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Stosowanie letermowiru w celu zapobiegania reaktywacji cytomegalowirusa (CMV) i rozwojowi choroby u dorosłych, seropozytywnych względem CMV pacjentów, którzy byli poddani zabiegowi przeszczepienia allogenicznych krwiotwórczych komórek macierzystych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LETERMOWIR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03.0000.433.02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B.133.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G43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Profilaktyczne leczenie chorych na migrenę przewlekłą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ERENUMAB, FREMANEZUMAB,</w:t>
            </w:r>
          </w:p>
          <w:p w:rsidR="005A040A" w:rsidRDefault="003F344E"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 w:rsidR="005A040A">
        <w:trPr>
          <w:trHeight w:val="115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03.0000.434.02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B.134.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C18, C19, C20, C34, C50, C61, C64, C67, C79.5, C90.0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Zapobieganie powikłaniom </w:t>
            </w:r>
            <w:r>
              <w:rPr>
                <w:b/>
                <w:sz w:val="16"/>
              </w:rPr>
              <w:t>kostnym u dorosłych pacjentów z zaawansowanym procesem nowotworowym obejmującym kości z zastosowaniem denosumabu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DENOSUMAB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03.0000.435.02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B.135.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D86, J67.0-J67.9, J84.1, J84.8, J84.9, J99.0, M34, J.99.1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pacjentów z chorobą śródmiąższową płuc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NINTEDANIB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03.0000.436.02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B.136.FM.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A15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gruźlicę lekooporną (MDR/XDR)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BEDAKILINA, PRETOMANID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03.0000.437.02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B.137.FM.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Odczulanie wysoko immunizowanych dorosłych potencjalnych biorców przeszczepu nerki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IMLIFIDAZA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106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03.0000.438.02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B.138.FM.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G36.0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pacjentów ze spektrum zapalenia nerwów wzrokowych i rdzenia kręgowego (NMOSD)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SATRALIZUMAB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03.0000.439.02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B.139.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C25.4, C17.0-C17.9, C18.0-C18.4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pacjentów z nowotworami neuroendokrynnymi układu </w:t>
            </w:r>
            <w:r>
              <w:rPr>
                <w:b/>
                <w:sz w:val="16"/>
              </w:rPr>
              <w:t>pokarmowego z zastosowaniem radiofarmaceutyków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OKSODOTREOTYD LUTETU LU-177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108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03.0000.440.02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B.140.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E72.2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wspomagające zaburzeń cyklu mocznikowego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FENYLOMAŚLAN GLICEROLU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03.0000.441.02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B.141.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C61, C65, C66, C67, C68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pacjentów z </w:t>
            </w:r>
            <w:r>
              <w:rPr>
                <w:b/>
                <w:sz w:val="16"/>
              </w:rPr>
              <w:t>rakiem urotelialnym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AWELUMAB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03.0000.442.02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B.142.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D46.1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dorosłych pacjentów z zespołami mielodysplastycznymi z towarzyszącą niedokrwistością zależną od transfuzji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LUSPATERCEPT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03.0000.443.02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B.143.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E71.1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kwasem kargluminowym </w:t>
            </w:r>
            <w:r>
              <w:rPr>
                <w:b/>
                <w:sz w:val="16"/>
              </w:rPr>
              <w:t>chorych z acyduriami organicznymi: propionową, metylomalonową i izowalerianową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KWAS KARGLUMINOWY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03.0000.444.02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B.144.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Zgodnie z kryteriami kwalifikacji określonymi w opisie programu lekowego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pacjentów z guzami litymi z fuzją genu </w:t>
            </w:r>
            <w:r>
              <w:rPr>
                <w:b/>
                <w:sz w:val="16"/>
              </w:rPr>
              <w:t>receptorowej kinazy tyrozynowej dla neurotrofin (NTRK)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LAROTREKTYNIB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03.0000.445.02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B.145.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E85.8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układową amyloidozę łańcuchów lekkich (AL)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DARATUMUMAB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03.0000.446.02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B.146.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C88.0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chorych na makroglobulinemię </w:t>
            </w:r>
            <w:r>
              <w:rPr>
                <w:b/>
                <w:sz w:val="16"/>
              </w:rPr>
              <w:t>Waldenströma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ZANUBRUTYNIB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03.0000.447.02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B.147.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F33.1, F33.2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depresję lekooporną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ESKETAMINA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03.0000.448.02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B.148.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C54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na raka endometrium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DOSTARLIMAB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03.0000.449.02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B.149.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T86.0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 xml:space="preserve">Leczenie pacjentów z </w:t>
            </w:r>
            <w:r>
              <w:rPr>
                <w:b/>
                <w:sz w:val="16"/>
              </w:rPr>
              <w:t>chorobą przeszczep przeciwko gospodarzowi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RUKSOLITYNIB</w:t>
            </w:r>
          </w:p>
        </w:tc>
      </w:tr>
      <w:tr w:rsidR="005A040A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118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03.0000.450.02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B.150.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M32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b/>
                <w:sz w:val="16"/>
              </w:rPr>
              <w:t>Leczenie chorych z toczniem rumieniowatym układowym (TRU, SLE)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A" w:rsidRDefault="003F344E">
            <w:pPr>
              <w:jc w:val="center"/>
            </w:pPr>
            <w:r>
              <w:rPr>
                <w:sz w:val="16"/>
              </w:rPr>
              <w:t>ANIFROLUMAB</w:t>
            </w:r>
          </w:p>
        </w:tc>
      </w:tr>
      <w:tr w:rsidR="005A040A">
        <w:trPr>
          <w:trHeight w:val="402"/>
        </w:trPr>
        <w:tc>
          <w:tcPr>
            <w:tcW w:w="1501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40A" w:rsidRDefault="003F344E">
            <w:pPr>
              <w:jc w:val="left"/>
            </w:pPr>
            <w:r>
              <w:rPr>
                <w:sz w:val="16"/>
                <w:vertAlign w:val="superscript"/>
              </w:rPr>
              <w:t xml:space="preserve">1 </w:t>
            </w:r>
            <w:r>
              <w:rPr>
                <w:sz w:val="16"/>
              </w:rPr>
              <w:t>– program lekowy, do którego ma zastosowanie przepis § 24 ust. 4 zarządzenia</w:t>
            </w:r>
          </w:p>
        </w:tc>
      </w:tr>
      <w:tr w:rsidR="005A040A">
        <w:trPr>
          <w:trHeight w:val="415"/>
        </w:trPr>
        <w:tc>
          <w:tcPr>
            <w:tcW w:w="150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40A" w:rsidRDefault="003F344E">
            <w:pPr>
              <w:jc w:val="left"/>
            </w:pP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– technologia lekowa o wysokim poziomie innowacyjności - technologia lekowa, o której mowa w art. 2 pkt 24b ustawy o refundacji</w:t>
            </w:r>
          </w:p>
        </w:tc>
      </w:tr>
      <w:tr w:rsidR="005A040A">
        <w:trPr>
          <w:trHeight w:val="415"/>
        </w:trPr>
        <w:tc>
          <w:tcPr>
            <w:tcW w:w="150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40A" w:rsidRDefault="003F344E">
            <w:pPr>
              <w:jc w:val="left"/>
            </w:pPr>
            <w:r>
              <w:rPr>
                <w:sz w:val="16"/>
                <w:vertAlign w:val="superscript"/>
              </w:rPr>
              <w:t xml:space="preserve">3 </w:t>
            </w:r>
            <w:r>
              <w:rPr>
                <w:sz w:val="16"/>
              </w:rPr>
              <w:t>- technologia lekowa o wysokiej wartości klinicznej - technologia lekowa, o której mowa w art. 2 pkt 24a ustawy o refundacji</w:t>
            </w:r>
          </w:p>
        </w:tc>
      </w:tr>
    </w:tbl>
    <w:p w:rsidR="005A040A" w:rsidRDefault="005A040A"/>
    <w:sectPr w:rsidR="005A040A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40A"/>
    <w:rsid w:val="003F344E"/>
    <w:rsid w:val="005A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77BE0B2-28F2-483B-B158-8262476E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2651</Words>
  <Characters>15906</Characters>
  <Application>Microsoft Office Word</Application>
  <DocSecurity>4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iwona.tomaszewska</dc:creator>
  <cp:lastModifiedBy>Skierka Monika</cp:lastModifiedBy>
  <cp:revision>2</cp:revision>
  <dcterms:created xsi:type="dcterms:W3CDTF">2023-10-02T12:58:00Z</dcterms:created>
  <dcterms:modified xsi:type="dcterms:W3CDTF">2023-10-02T12:58:00Z</dcterms:modified>
  <cp:category>Akt prawny</cp:category>
</cp:coreProperties>
</file>