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05" w:rsidRDefault="008F123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143/2023/DGL</w:t>
      </w:r>
      <w:r>
        <w:br/>
        <w:t>Prezesa Narodowego Funduszu Zdrowia</w:t>
      </w:r>
      <w:r>
        <w:br/>
        <w:t>z dnia 2 października 2023 r.</w:t>
      </w:r>
    </w:p>
    <w:p w:rsidR="00BD2505" w:rsidRDefault="008F123E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biologicznego w chorobach reumatycznych oraz weryfikację </w:t>
      </w:r>
      <w:r>
        <w:rPr>
          <w:b/>
        </w:rPr>
        <w:t>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86"/>
        <w:gridCol w:w="6286"/>
      </w:tblGrid>
      <w:tr w:rsidR="00BD2505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BD2505">
        <w:trPr>
          <w:trHeight w:val="45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 w:rsidR="00BD2505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</w:t>
            </w:r>
            <w:r>
              <w:rPr>
                <w:sz w:val="20"/>
              </w:rPr>
              <w:t>leczenia przez zespół koordynacyjny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 xml:space="preserve">3) Leczenie chorych z aktywną postacią </w:t>
            </w:r>
            <w:r>
              <w:rPr>
                <w:sz w:val="20"/>
              </w:rPr>
              <w:t>zesztywniającego zapalenia stawów kręgosłupa (ZZSK);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6) Leczenie chorych z toczni</w:t>
            </w:r>
            <w:r>
              <w:rPr>
                <w:sz w:val="20"/>
              </w:rPr>
              <w:t>em rumieniowatym układowym.</w:t>
            </w:r>
          </w:p>
        </w:tc>
      </w:tr>
      <w:tr w:rsidR="00BD2505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1) M 05 reumatoidalne zapalenie stawów (RZS);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4) M</w:t>
            </w:r>
            <w:r>
              <w:rPr>
                <w:sz w:val="20"/>
              </w:rPr>
              <w:t xml:space="preserve"> 45 zesztywniające zapalenie stawów kręgosłupa;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9) M 46.8 Inne określone zapalne choroby kręg</w:t>
            </w:r>
            <w:r>
              <w:rPr>
                <w:sz w:val="20"/>
              </w:rPr>
              <w:t>osłupa;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13) M 32 toczeń rumieniowaty układowy.</w:t>
            </w:r>
          </w:p>
        </w:tc>
      </w:tr>
      <w:tr w:rsidR="00BD2505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BD2505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 w:rsidR="00BD2505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Narodowy Instytut Geriatrii, Reumatologii i Rehabilitacji im. pr</w:t>
            </w:r>
            <w:r>
              <w:rPr>
                <w:sz w:val="20"/>
              </w:rPr>
              <w:t>of. dr hab. med. Eleonory Reicher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ul. Spartańska 1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 w:rsidR="00BD2505">
        <w:trPr>
          <w:trHeight w:val="3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lekarze specjaliści w dziedzinie reumatologii lub dermatologii i wenerologii lub chorób płuc lub nefrologii</w:t>
            </w:r>
          </w:p>
        </w:tc>
      </w:tr>
      <w:tr w:rsidR="00BD2505">
        <w:trPr>
          <w:trHeight w:val="12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 w:rsidR="00BD2505" w:rsidRDefault="008F123E">
            <w:pPr>
              <w:jc w:val="left"/>
            </w:pPr>
            <w:r>
              <w:rPr>
                <w:sz w:val="20"/>
              </w:rPr>
              <w:t>2) kw</w:t>
            </w:r>
            <w:r>
              <w:rPr>
                <w:sz w:val="20"/>
              </w:rPr>
              <w:t>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 w:rsidR="00BD2505">
        <w:trPr>
          <w:trHeight w:val="6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specyfikac</w:t>
            </w:r>
            <w:r>
              <w:rPr>
                <w:sz w:val="20"/>
              </w:rPr>
              <w:t>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05" w:rsidRDefault="008F123E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BD2505" w:rsidRDefault="008F123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BD250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</w:pPr>
            <w:r>
              <w:rPr>
                <w:b/>
                <w:sz w:val="24"/>
              </w:rPr>
              <w:lastRenderedPageBreak/>
              <w:t xml:space="preserve">2. Wzory dokumentów niezbędnych dla kwalifikacji pacjenta do leczenia w programie lekowym Leczenie pacjentów z </w:t>
            </w:r>
            <w:r>
              <w:rPr>
                <w:b/>
                <w:sz w:val="24"/>
              </w:rPr>
              <w:t>chorobą śródmiąższową płuc (ICD-10: D86, J67.0-J67.9, J84.1, J84.8, J84.9, J99.0, J.99.1, M34)</w:t>
            </w:r>
          </w:p>
          <w:p w:rsidR="00BD2505" w:rsidRDefault="00BD2505"/>
          <w:p w:rsidR="00BD2505" w:rsidRDefault="00BD2505"/>
          <w:p w:rsidR="00BD2505" w:rsidRDefault="00BD2505"/>
          <w:p w:rsidR="00BD2505" w:rsidRDefault="008F123E">
            <w:pPr>
              <w:jc w:val="center"/>
            </w:pPr>
            <w:r>
              <w:rPr>
                <w:b/>
                <w:sz w:val="24"/>
              </w:rPr>
              <w:t>Wzór wniosku o kwalifikację do leczenia w programie Leczenie pacjentów z chorobą śródmiąższową płuc (ICD-10: D86, J67.0-J67.9, J84.1, J84.8, J84.9, J99.0, J.9</w:t>
            </w:r>
            <w:r>
              <w:rPr>
                <w:b/>
                <w:sz w:val="24"/>
              </w:rPr>
              <w:t>9.1, M34)</w:t>
            </w: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4726"/>
      </w:tblGrid>
      <w:tr w:rsidR="00BD2505">
        <w:trPr>
          <w:trHeight w:val="540"/>
        </w:trPr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  <w:p w:rsidR="00BD2505" w:rsidRDefault="00BD2505"/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Wynik badania TKWR </w:t>
      </w:r>
      <w:r>
        <w:rPr>
          <w:color w:val="000000"/>
          <w:u w:color="000000"/>
        </w:rPr>
        <w:t>potwierdzający rozpoznanie choroby śródmiąższowej płuc: 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wydolności narządowej określona na podstawie wyników badań: 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Wykluczenie ciąży i karmienia piersią oraz zgoda na prowadzenia antykoncepcj</w:t>
      </w:r>
      <w:r>
        <w:rPr>
          <w:color w:val="000000"/>
          <w:u w:color="000000"/>
        </w:rPr>
        <w:t>i zgodnie z ChPL:………….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020"/>
        <w:gridCol w:w="840"/>
      </w:tblGrid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1. </w:t>
            </w:r>
            <w:r>
              <w:rPr>
                <w:sz w:val="24"/>
              </w:rPr>
              <w:t>FVC ≥ 40% wartości 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>pojemność dyfuzyjna płuc TLco powyżej 30% wartości 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jedno z poniższych szczegółowych kryteriów kwalifikacji do PF-ILD:</w:t>
            </w: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a) zmiany o typie włóknienia w badaniu TKWR zajmują co najmniej 10% objętości płuc oraz udokumentowano w okresie ostatnich 24 m-cy:</w:t>
            </w:r>
          </w:p>
          <w:p w:rsidR="00BD2505" w:rsidRDefault="008F123E">
            <w:pPr>
              <w:jc w:val="left"/>
            </w:pPr>
            <w:r>
              <w:t xml:space="preserve">– spadek wartości FVC o co najmniej 10%, lub </w:t>
            </w:r>
          </w:p>
          <w:p w:rsidR="00BD2505" w:rsidRDefault="008F123E">
            <w:pPr>
              <w:jc w:val="left"/>
            </w:pPr>
            <w:r>
              <w:t>– spadek wartości FVC o co najmniej 5% oraz spadek wartości TLCO o co najmniej 15%, lub</w:t>
            </w:r>
          </w:p>
          <w:p w:rsidR="00BD2505" w:rsidRDefault="008F123E">
            <w:pPr>
              <w:jc w:val="left"/>
            </w:pPr>
            <w:r>
              <w:t>– spadek wartości FVC o co najmniej 5% oraz progresję włóknienia płuc w badaniu TKWR, lub</w:t>
            </w:r>
          </w:p>
          <w:p w:rsidR="00BD2505" w:rsidRDefault="008F123E">
            <w:pPr>
              <w:jc w:val="left"/>
            </w:pPr>
            <w:r>
              <w:t>– spadek wartości FVC o co najmn</w:t>
            </w:r>
            <w:r>
              <w:t xml:space="preserve">iej 5% oraz nasilenie objawów klinicznych, lub </w:t>
            </w:r>
          </w:p>
          <w:p w:rsidR="00BD2505" w:rsidRDefault="008F123E">
            <w:pPr>
              <w:jc w:val="left"/>
            </w:pPr>
            <w:r>
              <w:t>– progresję włóknienia płuc w badaniu TKWR oraz nasilenie objawów klinicznych,</w:t>
            </w:r>
          </w:p>
          <w:p w:rsidR="00BD2505" w:rsidRDefault="008F123E">
            <w:pPr>
              <w:jc w:val="left"/>
            </w:pPr>
            <w:r>
              <w:t>Mimo stosowania rekomendowanego leczenia;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b) zmiany o typie włóknienia w badaniu TKWR zajmują co najmniej 10% objętości płuc o</w:t>
            </w:r>
            <w:r>
              <w:t>raz wartość FVC stanowi &lt; 70% wartości należnej;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c) zmiany o typie włóknienia w badaniu TKWR zajmują co najmniej 20% objętości płuc.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D2505" w:rsidRDefault="00BD2505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Pacjent nie spełnia kryteriów wyłączenia z programu…………….………..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BD2505" w:rsidRDefault="00BD2505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……………..………………………………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 xml:space="preserve">nadruk lub pieczątka </w:t>
      </w:r>
      <w:r>
        <w:rPr>
          <w:color w:val="000000"/>
          <w:u w:color="000000"/>
        </w:rPr>
        <w:t>zawierające imię i nazwisko lekarza,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pacjentów z chorobą śródmiąższową płuc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 Chorobach Reumatycznych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Dotyczy </w:t>
      </w:r>
      <w:r>
        <w:rPr>
          <w:color w:val="000000"/>
          <w:u w:color="000000"/>
        </w:rPr>
        <w:t>pacjenta: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Nintedanib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</w:t>
            </w:r>
            <w:r>
              <w:rPr>
                <w:sz w:val="18"/>
              </w:rPr>
              <w:t>Przewodniczącego Zespołu Koordynacyjnego ds. Leczenia Biologicznego w Chorobach Reumatycznych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</w:t>
      </w:r>
      <w:r>
        <w:rPr>
          <w:color w:val="000000"/>
          <w:u w:color="000000"/>
        </w:rPr>
        <w:t>Parlamentu Europejskiego i Rady (UE) 2016/679 z dnia 27 kwietnia 2016 r. w sprawie ochrony osób fizycznych w związku z przetwarzaniem danych osobowych i w sprawie swobodnego przepływu takich danych oraz uchylenia dyrektywy 95/46/WE (Ogólne rozporządzenie o</w:t>
      </w:r>
      <w:r>
        <w:rPr>
          <w:color w:val="000000"/>
          <w:u w:color="000000"/>
        </w:rPr>
        <w:t> ochronie danych - RODO)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2.1. Z</w:t>
      </w:r>
      <w:r>
        <w:rPr>
          <w:b/>
          <w:color w:val="000000"/>
          <w:u w:color="000000"/>
        </w:rPr>
        <w:t>ałącznik do wniosku o zakwalifikowanie pacjenta do leczenia w programie lekowym Leczenie pacjentów z chorobą śródmiąższową płuc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br/>
        <w:t xml:space="preserve">z art. 188 oraz </w:t>
      </w:r>
      <w:r>
        <w:rPr>
          <w:color w:val="000000"/>
          <w:u w:color="000000"/>
        </w:rPr>
        <w:t>art. 188c ustawy o świadczeniach opieki zdrowotnej finansowanych ze środków publicznych.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możliwości zaprzestania terapii.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</w:t>
      </w:r>
      <w:r>
        <w:rPr>
          <w:color w:val="000000"/>
          <w:u w:color="000000"/>
        </w:rPr>
        <w:t>ając powyższe na uwadze, wyrażam zgodę na leczenie nintedanibem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</w:t>
            </w:r>
            <w:r>
              <w:rPr>
                <w:sz w:val="20"/>
              </w:rPr>
              <w:t>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</w:t>
      </w:r>
      <w:r>
        <w:rPr>
          <w:color w:val="000000"/>
          <w:u w:color="000000"/>
        </w:rPr>
        <w:t>ch w związku z przetwarzaniem danych osobowych i w sprawie swobodnego przepływu takich danych oraz uchylenia dyrektywy 95/46/WE (Ogólne rozporządzenie o ochronie danych — RODO).</w:t>
      </w:r>
    </w:p>
    <w:p w:rsidR="00BD2505" w:rsidRDefault="008F123E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BD250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3. Wzory dokumentów niezbędnych dla kwalifikacji pacjenta do leczenia w prog</w:t>
            </w:r>
            <w:r>
              <w:rPr>
                <w:b/>
                <w:sz w:val="24"/>
              </w:rPr>
              <w:t>ramie lekowym Leczenie chorych z toczniem rumieniowatym układowym (TRU, SLE) (ICD-10: M32)</w:t>
            </w:r>
          </w:p>
          <w:p w:rsidR="00BD2505" w:rsidRDefault="00BD2505"/>
          <w:p w:rsidR="00BD2505" w:rsidRDefault="00BD2505"/>
          <w:p w:rsidR="00BD2505" w:rsidRDefault="00BD2505"/>
          <w:p w:rsidR="00BD2505" w:rsidRDefault="008F123E">
            <w:pPr>
              <w:jc w:val="center"/>
            </w:pPr>
            <w:r>
              <w:rPr>
                <w:b/>
                <w:sz w:val="24"/>
              </w:rPr>
              <w:t>Wzór wniosku o kwalifikację do leczenia w programie Leczenie chorych z toczniem rumieniowatym układowym (TRU, SLE) (ICD-10: M32)</w:t>
            </w: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</w:t>
      </w:r>
      <w:r>
        <w:rPr>
          <w:b/>
          <w:color w:val="000000"/>
          <w:u w:color="000000"/>
        </w:rPr>
        <w:t xml:space="preserve">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D2505">
        <w:trPr>
          <w:trHeight w:val="540"/>
        </w:trPr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  <w:p w:rsidR="00BD2505" w:rsidRDefault="00BD2505"/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Rozpoznanie na podstawie obowiązujących kryteriów </w:t>
      </w:r>
      <w:r>
        <w:rPr>
          <w:color w:val="000000"/>
          <w:u w:color="000000"/>
        </w:rPr>
        <w:t>klasyfikacyjnych EULAR/ACR: 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Wykluczenie ciąży i karmienia piersią oraz zgoda na prowadzenia antykoncepcji zgodnie z ChPL:………….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1. </w:t>
            </w:r>
            <w:r>
              <w:rPr>
                <w:sz w:val="24"/>
              </w:rPr>
              <w:t>wartość SELDAI-2K ≥ 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 xml:space="preserve">wartość klinicznego </w:t>
            </w:r>
            <w:r>
              <w:rPr>
                <w:sz w:val="24"/>
              </w:rPr>
              <w:t>SELDAI-2K ≥ 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3. ocena stopnia aktywności choroby w skali BILAG-2004 ≥ 1 A lub ≥ 2 B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4. wartość ogólnej oceny aktywności choroby przez lekarza w skali 0-3 (PGA) ˃ 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6. </w:t>
            </w:r>
            <w:r>
              <w:rPr>
                <w:sz w:val="24"/>
              </w:rPr>
              <w:t xml:space="preserve">nieobecność istotnych schorzeń </w:t>
            </w:r>
            <w:r>
              <w:rPr>
                <w:sz w:val="24"/>
              </w:rPr>
              <w:t>współistniejących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 xml:space="preserve">7. brak przeciwskazań do stosowania anifrolumabu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2505" w:rsidRDefault="00BD250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zapytanie należy opisać i załączyć zaświadcze</w:t>
      </w:r>
      <w:r>
        <w:rPr>
          <w:color w:val="000000"/>
          <w:u w:color="000000"/>
        </w:rPr>
        <w:t xml:space="preserve">nie </w:t>
      </w:r>
      <w:r>
        <w:rPr>
          <w:color w:val="000000"/>
          <w:u w:color="000000"/>
        </w:rPr>
        <w:br/>
        <w:t>od lekarza prowadzącego o wcześniejszym leczeniu pacjenta.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</w:t>
      </w:r>
      <w:r>
        <w:rPr>
          <w:color w:val="000000"/>
          <w:u w:color="000000"/>
        </w:rPr>
        <w:t>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Pacjent nie spełnia kryteriów wyłączenia z programu…………….………..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BD2505" w:rsidRDefault="00BD2505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……………..………………………………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 xml:space="preserve">nadruk lub pieczątka </w:t>
      </w:r>
      <w:r>
        <w:rPr>
          <w:color w:val="000000"/>
          <w:u w:color="000000"/>
        </w:rPr>
        <w:t>zawierające imię i nazwisko lekarza,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BD2505" w:rsidRDefault="008F123E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chorych z toczniem rumieniowatym układowym (TRU, </w:t>
      </w:r>
      <w:r>
        <w:rPr>
          <w:b/>
          <w:color w:val="000000"/>
          <w:u w:color="000000"/>
        </w:rPr>
        <w:t>SLE)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 Chorobach Reumatycznych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Anifrolumab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Podpis Przewodniczącego Zespołu Koordynacyjnego ds. Leczenia Biologicznego </w:t>
            </w:r>
            <w:r>
              <w:rPr>
                <w:color w:val="000000"/>
                <w:sz w:val="18"/>
                <w:u w:color="000000"/>
              </w:rPr>
              <w:br/>
              <w:t>w Chorobach Reumatycznych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</w:t>
      </w:r>
      <w:r>
        <w:rPr>
          <w:color w:val="000000"/>
          <w:u w:color="000000"/>
        </w:rPr>
        <w:t>Rozporządzenia Parlamentu Europejskiego i Rady (UE) 2016/679 z dnia 27 kwietnia 2016 r. w sprawie ochrony osób fizycznych w związku z przetwarzaniem danych osobowych i w sprawie swobodnego przepływu takich danych oraz uchylenia dyrektywy 95/46/WE (Ogólne r</w:t>
      </w:r>
      <w:r>
        <w:rPr>
          <w:color w:val="000000"/>
          <w:u w:color="000000"/>
        </w:rPr>
        <w:t>ozporządzenie o ochronie danych - RODO)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3.1 Z</w:t>
      </w:r>
      <w:r>
        <w:rPr>
          <w:b/>
          <w:color w:val="000000"/>
          <w:u w:color="000000"/>
        </w:rPr>
        <w:t>ałącznik do wniosku o zakwalifikowanie pacjenta do leczenia w programie lekowym Leczenie chorych z toczniem rumieniowatym układowym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</w:t>
      </w:r>
      <w:r>
        <w:rPr>
          <w:color w:val="000000"/>
          <w:u w:color="000000"/>
        </w:rPr>
        <w:t>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możliwości zaprz</w:t>
      </w:r>
      <w:r>
        <w:rPr>
          <w:color w:val="000000"/>
          <w:u w:color="000000"/>
        </w:rPr>
        <w:t>estania terapii.</w:t>
      </w:r>
    </w:p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anifrolumabem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</w:t>
            </w:r>
            <w:r>
              <w:rPr>
                <w:sz w:val="20"/>
              </w:rPr>
              <w:t>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505" w:rsidRDefault="008F123E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05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BD2505" w:rsidRDefault="00BD250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BD2505" w:rsidRDefault="008F123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Parlamentu Europejskiego i Rady (UE) 2016/679 z dnia 27 kwietnia 2016 r. w sprawie ochrony osób </w:t>
      </w:r>
      <w:r>
        <w:rPr>
          <w:color w:val="000000"/>
          <w:u w:color="000000"/>
        </w:rPr>
        <w:t>fizycznych w związku z przetwarzaniem danych osobowych i w sprawie swobodnego przepływu takich danych oraz uchylenia dyrektywy 95/46/WE (Ogólne rozporządzenie o ochronie danych — RODO).</w:t>
      </w:r>
    </w:p>
    <w:sectPr w:rsidR="00BD25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05"/>
    <w:rsid w:val="008F123E"/>
    <w:rsid w:val="00BD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A2FFFA4-A1AF-41E6-8510-C7E3C564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1902</Words>
  <Characters>11416</Characters>
  <Application>Microsoft Office Word</Application>
  <DocSecurity>4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2023-10-02T12:59:00Z</dcterms:created>
  <dcterms:modified xsi:type="dcterms:W3CDTF">2023-10-02T12:59:00Z</dcterms:modified>
  <cp:category>Akt prawny</cp:category>
</cp:coreProperties>
</file>