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F0" w:rsidRDefault="00663D5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141/2023/DGL</w:t>
      </w:r>
      <w:r>
        <w:br/>
        <w:t>Prezesa Narodowego Funduszu Zdrowia</w:t>
      </w:r>
      <w:r>
        <w:br/>
        <w:t>z dnia 2 października 2023 r.</w:t>
      </w:r>
    </w:p>
    <w:p w:rsidR="000A39F0" w:rsidRDefault="00663D5B">
      <w:pPr>
        <w:keepNext/>
        <w:spacing w:after="480"/>
        <w:jc w:val="center"/>
      </w:pPr>
      <w:r>
        <w:rPr>
          <w:b/>
        </w:rPr>
        <w:t>Katalog współczynników korygujących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695"/>
        <w:gridCol w:w="1860"/>
        <w:gridCol w:w="1635"/>
        <w:gridCol w:w="1785"/>
        <w:gridCol w:w="1440"/>
        <w:gridCol w:w="1485"/>
        <w:gridCol w:w="1485"/>
        <w:gridCol w:w="3105"/>
      </w:tblGrid>
      <w:tr w:rsidR="000A39F0">
        <w:trPr>
          <w:trHeight w:val="31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6</w:t>
            </w:r>
          </w:p>
        </w:tc>
      </w:tr>
      <w:tr w:rsidR="000A39F0">
        <w:trPr>
          <w:trHeight w:val="825"/>
        </w:trPr>
        <w:tc>
          <w:tcPr>
            <w:tcW w:w="52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35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 xml:space="preserve">świadczenie z katalogu świadczeń podstawowych, w odniesieniu </w:t>
            </w:r>
            <w:r>
              <w:rPr>
                <w:b/>
                <w:sz w:val="20"/>
              </w:rPr>
              <w:t>do którego współczynnik korygujący może zostać zastosowany</w:t>
            </w:r>
          </w:p>
        </w:tc>
        <w:tc>
          <w:tcPr>
            <w:tcW w:w="34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substancja czynna</w:t>
            </w:r>
          </w:p>
        </w:tc>
        <w:tc>
          <w:tcPr>
            <w:tcW w:w="292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wartość współczynnika korygującego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0A39F0">
        <w:trPr>
          <w:trHeight w:val="300"/>
        </w:trPr>
        <w:tc>
          <w:tcPr>
            <w:tcW w:w="5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A39F0" w:rsidRDefault="000A39F0">
            <w:pPr>
              <w:jc w:val="center"/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kod świadczenia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wartość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</w:pPr>
          </w:p>
        </w:tc>
        <w:tc>
          <w:tcPr>
            <w:tcW w:w="310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5.08.05.0000170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Współczynnik korygujący może zostać zastosowany w odniesieniu do świadczenia wskazanego w kolumnie 2, rozliczanego w związku z terapią pacjentów, u których stosowana jest substancja czynna, o której mowa kolumnie 3, spełniająca warunek kosztowy określony w</w:t>
            </w:r>
            <w:r>
              <w:rPr>
                <w:sz w:val="20"/>
              </w:rPr>
              <w:t xml:space="preserve"> kolumnie 4 w przypadku każdego z podań lub wydań leku danemu pacjentowi w danym okresie. </w:t>
            </w: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kompleksowa </w:t>
            </w:r>
            <w:r>
              <w:rPr>
                <w:sz w:val="20"/>
              </w:rPr>
              <w:t>porada ambulatoryjna dotycząca chemioterapii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podstawowa porada ambulatoryjna dotycząca chemioterapii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hematoonkologicza u dzieci 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hospitalizacja jednego dnia związana z podaniem leku z części A katalogu leków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  <w:tr w:rsidR="000A39F0">
        <w:trPr>
          <w:trHeight w:val="1095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663D5B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A39F0" w:rsidRDefault="000A39F0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A39F0" w:rsidRDefault="000A39F0"/>
    <w:sectPr w:rsidR="000A39F0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F0"/>
    <w:rsid w:val="000A39F0"/>
    <w:rsid w:val="0066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1077B42-8652-4BD7-B880-8B8BBCB8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3065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2023-10-02T12:40:00Z</dcterms:created>
  <dcterms:modified xsi:type="dcterms:W3CDTF">2023-10-02T12:40:00Z</dcterms:modified>
  <cp:category>Akt prawny</cp:category>
</cp:coreProperties>
</file>