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1DD7032" Type="http://schemas.openxmlformats.org/officeDocument/2006/relationships/officeDocument" Target="/word/document.xml" /><Relationship Id="coreR71DD703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109/2024/DGL</w:t>
        <w:br w:type="textWrapping"/>
        <w:t>Prezesa Narodowego Funduszu Zdrowia</w:t>
        <w:br w:type="textWrapping"/>
        <w:t>z dnia 7 listopada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świadczeń i zakresów – leczenie szpitalne – programy lekowe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kod</w:t>
              <w:br w:type="textWrapping"/>
              <w:t>świadczenia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5.08.07.0000024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5.08.07.0000025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5.08.07.0000018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5.08.07.0000023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5.08.07.0000009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5.08.07.0000027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5.08.07.0000029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5.08.07.0000030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35"/>
        </w:trPr>
        <w:tc>
          <w:tcPr>
            <w:tcW w:w="4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 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i pod kontrolą tomografii komputerowej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podaniem nusinersenu w znieczuleniu ogólnym lub pod kontrolą tomografii komputerowej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iniekcji doszklistkowej w programie lekowym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kwalifikacja do leczenia w programie lekowym oraz weryfikacja jego skuteczności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 warunkach domowych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podaniem toksyny botulinowej typu A pod kontrolą elektromiografii, stymulacji elektrycznej mięśnia i/lub ultrasonografii w leczeniu spastyczności kończyn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połączone z podaniem toksyny botulinowej typu A w leczeniu migreny przewlekłej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połączone z podaniem Lutetium (177Lu) oxodotreotidi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4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wartość punktowa 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540,80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900,00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678,72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108,16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324,48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338,00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koszt świadczenia zawarty w wycenie koncentratu czynnika krzepnięcia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745,79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9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Lp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Kod zakresu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Nazwa zakresu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03.0000.301.02 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przewlekłe wirusowe zapalenia wątroby typu B 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7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03.0000.304.02 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jelita grubego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03.0000.305.02 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wątrobowokomórkowego lub raka dróg żółciowych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03.0000.306.02 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płuca oraz międzybłoniaka opłucnej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03.0000.308.02 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mięsaki tkanek miękkich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03.0000.309.02 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03.0000.312.02 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B-komórkowe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03.0000.314.02 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przewlekłą białaczkę szpikową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03.0000.315.02 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krwawieniom u dzieci z hemofilią A i B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03.0000.317.02 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pierwotnych niedoborów odporności u dzieci 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03.0000.318.02 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przedwczesnego dojrzewania płciowego u dzieci lub zagrażającej patologicznej niskorosłości na skutek szybko postępującego dojrzewania płciowego 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03.0000.319.02 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somatotropinową niedoczynnością przysadki 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03.0000.320.02 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ciężkim pierwotnym niedoborem IGF-1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03.0000.321.02 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Leczenie ciężkich wrodzonych hiperhomocysteinemii 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03.0000.322.02 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Pompego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03.0000.323.02 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Gauchera typu I oraz typu III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03.0000.324.02 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Hurler 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03.0000.325.02 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mukopolisacharydozy typu II (zespół Huntera)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03.0000.327.02 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przewlekłych zakażeń płuc u świadczeniobiorców z mukowiscydozą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03.0000.328.02 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dystonii ogniskowych i połowiczego kurczu twarzy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03.0000.329.02 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stwardnienie rozsiane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03.0000.330.02 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spastyczności w mózgowym porażeniu dziecięcym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03.0000.331.02 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tętniczego nadciśnienia płucnego (TNP)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03.0000.337.02 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niedokrwistości u chorych z przewlekłą niewydolnością nerek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03.0000.338.02 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przewlekłą niewydolnością nerek (PNN)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03.0000.339.02 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03.0000.340.02 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Profilaktyka zakażeń wirusem RS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03.0000.341.02 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zespołu Prader - Willi 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03.0000.342.02 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niskorosłych dzieci z Zespołem Turnera (ZT)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03.0000.344.02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ciężką postacią astmy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03.0000.350.02 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jajnika, raka jajowodu lub raka otrzewnej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03.0000.352.02 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płaskonabłonkowym rakiem narządów głowy i szyi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03.0000.354.02 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szpiczaka plazmocytowego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03.0000.355.02 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03.0000.356.02 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gruczołu krokowego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03.0000.357.02 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ze spastycznością kończyn z użyciem toksyny botulinowej typu A 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03.0000.358.02 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przełyku</w:t>
            </w:r>
            <w:r>
              <w:rPr>
                <w:sz w:val="16"/>
              </w:rPr>
              <w:t>, połączenia żołądkowo-przełykowego</w:t>
            </w:r>
            <w:r>
              <w:rPr>
                <w:sz w:val="18"/>
              </w:rPr>
              <w:t xml:space="preserve"> i żołądka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2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03.0000.359.02 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czerniaka skóry lub błon śluzowych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03.0000.361.02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cystynozę nefropatyczną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03.0000.362.02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 Leczenie pierwotnych niedoborów odporności (PNO) u pacjentów dorosłych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03.0000.364.02 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hormonem wzrostu niskorosłych dzieci urodzonych jako zbyt małe w porównaniu do czasu trwania ciąży (SGA lub IUGR)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03.0000.365.02 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białaczkę limfoblastyczną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03.0000.366.02 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chłoniaki T-komórkowe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03.0000.367.02 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immunoglobulinami chorób neurologicznych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03.0000.370.02 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chorobami siatkówki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03.0000.371.02 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terapią bezinterferonową chorych na przewlekłe wirusowe zapalenie wątroby typu C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03.0000.373.02 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neurogennej nadreaktywności wypieracza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03.0000.374.02 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przewlekłego zakrzepowo-zatorowego nadciśnienia płucnego (CTEPH)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4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03.0000.375.02 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układowymi zapaleniami naczyń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03.0000.376.02 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tyrozynemii typu 1 (HT-1)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03.0000.377.02 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klasycznego chłoniaka Hodgkina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03.0000.379.02 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przewlekłą białaczkę limfocytową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03.0000.381.02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nowotwory mieloproliferacyjne Ph (-)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03.0000.382.02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03.0000.385.02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gruczolakorakiem trzustki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03.0000.386.02 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wrodzonymi zespołami autozapalnymi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03.0000.387.02 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idiopatycznego włóknienia płuc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03.0000.388.02 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chorych na raka podstawnokomórkowego skóry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6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03.0000.389.02 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ewerolimusem chorych na stwardnienie guzowate z niekwalifikującymi się do leczenia operacyjnego guzami podwyściółkowymi olbrzymiokomórkowymi (SEGA)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03.0000.390.02 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zaburzeń motorycznych w przebiegu zaawansowanej choroby Parkinsona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03.0000.395.02 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atypowym zespołem hemolityczno-mocznicowym (aHUS)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03.0000.396.02 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nocną napadową hemoglobinurią (PNH)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03.0000.397.02 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chorych na pierwotną małopłytkowość immunologiczną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03.0000.398.02 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pediatrycznych chorych na pierwotną małopłytkowość immunologiczną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03.0000.399.02 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akromegalii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03.0000.401.02 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zaburzeniami lipidowymi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03.0000.402.02 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rdzeniowy zanik mięśni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03.0000.404.02 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choroby Fabry'ego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4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03.0000.405.02 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zapalenie błony naczyniowej oka (ZBN)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03.0000.406.02 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Profilaktyka reaktywacji wirusowego zapalenia wątroby typu b u świadczeniobiorców po przeszczepach lub u świadczeniobiorców otrzymujących leczenie związane z ryzykiem reaktywacji HBV 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03.0000.407.02 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przewlekłą pokrzywką spontaniczną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03.0000.408.02 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rdzeniastym tarczycy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03.0000.409.02 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uzupełniające L-karnityną w wybranych chorobach metabolicznych 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03.0000.410.02 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dinutuksymabem beta pacjentów z nerwiakiem zarodkowym współczulnym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03.0000.411.02 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03.0000.412.02 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mukowiscydozę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03.0000.413.02 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chorobami nerek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03.0000.414.02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białaczkę szpikową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03.0000.415.02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agresywnej mastocytozy układowej, mastocytozy układowej z współistniejącym nowotworem układu krwiotwórczego oraz białaczki mastocytarnej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03.0000.417.02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raka z komórek Merkla awelumabem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03.0000.418.02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Cushinga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3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03.0000.419.02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ze zróżnicowanym rakiem tarczycy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03.0000.421.02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amifamprydyną pacjentów z zespołem miastenicznym Lamberta-Eatona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03.0000.422.02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03.0000.423.02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Wilsona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2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03.0000.424.02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atopowym zapaleniem skóry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03.0000.425.02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chorych na kolczystokomórkowego raka skóry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9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03.0000.426.02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autosomalnie dominującą postacią zwyrodnienia wielotorbielowatego nerek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03.0000.427.02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chorych na ciężką anemię aplastyczną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03.0000.428.02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ostrą porfirię wątrobową (AHP) u dorosłych i młodzieży w wieku od 12 lat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03.0000.429.02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pierwotną hiperoksalurię typu 1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03.0000.430.02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dystrofią mięśniową Duchenne’a spowodowaną mutacją nonsensowną w genie dystrofiny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03.0000.431.02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idiopatyczną wieloogniskową chorobą Castlemana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3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03.0000.432.02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reaktywacji cytomegalowirusa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03.0000.433.02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Profilaktyczne leczenie chorych na migrenę przewlekłą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03.0000.434.02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Zapobieganie powikłaniom kostnym u dorosłych pacjentów z zaawansowanym procesem nowotworowym obejmującym kości z zastosowaniem denosumabu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6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03.0000.435.02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Leczenie pacjentów z chorobą śródmiąższową płuc 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03.0000.436.02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gruźlicę lekooporną (MDR/XDR)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6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03.0000.437.02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Odczulanie wysoko immunizowanych dorosłych potencjalnych biorców przeszczepu nerki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03.0000.438.02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ze spektrum zapalenia nerwów wzrokowych i rdzenia kręgowego (NMOSD)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03.0000.439.02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nowotworami neuroendokrynnymi układu pokarmowego z zastosowaniem radiofarmaceutyków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03.0000.440.02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wspomagające zaburzeń cyklu mocznikowego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03.0000.441.02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rakiem urotelialnym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3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03.0000.442.02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dorosłych pacjentów z zespołami mielodysplastycznymi z towarzyszącą niedokrwistością zależną od transfuzji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3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03.0000.443.02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kwasem kargluminowym chorych z acyduriami organicznymi: propionową, metylomalonową i izowalerianową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39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03.0000.444.02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guzami litymi z fuzją genu receptorowej kinazy tyrozynowej dla neurotrofin (NTRK)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59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03.0000.445.02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układową amyloidozę łańcuchów lekkich (AL)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1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03.0000.446.02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makroglobulinemię Waldenströma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03.0000.447.02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depresję lekooporną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03.0000.448.02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endometrium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03.0000.449.02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przeszczep przeciwko gospodarzowi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03.0000.450.02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toczniem rumieniowatym układowym (TRU, SLE)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03.0000.451.02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hipofosfatemię sprzężoną z chromosomem X (XLH)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sz w:val="18"/>
              </w:rPr>
              <w:t>120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03.0000.452.02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postępującą rodzinną cholestazą wewnątrzwątrobową (PFIC)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03.0000.453.02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napadami padaczkowymi w przebiegu zespołu stwardnienia guzowatego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9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03.0000.454.02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zespołem Lennoxa-Gastauta lub z zespołem Dravet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03.0000.455.02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nerwiakowłókniakami splotowatymi w przebiegu neurofibromatozy typu 1 (NF1)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03.0000.456.02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zapaleniem nosa i zatok przynosowych z polipami nosa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03.0000.457.02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uogólnioną postacią miastenii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03.0000.458.02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niedoborem kwaśnej sfingomielinazy (ASMD) typu A/B i B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127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03.0000.459.02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raka szyjki macicy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03.0000.460.02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pacjentek z ciężką postacią osteoporozy pomenopauzalnej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129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03.0000.461.02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ropnym zapaleniem apokrynowych gruczołów potowych (HS)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03.0000.462.02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kardiomiopatią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131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03.0000.463.02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na czerniaka błony naczyniowej oka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132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03.0000.464.02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immunologiczną zakrzepową plamicą małopłytkową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4"/>
        </w:trPr>
        <w:tc>
          <w:tcPr>
            <w:tcW w:w="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03.0000.465.02</w:t>
            </w:r>
          </w:p>
        </w:tc>
        <w:tc>
          <w:tcPr>
            <w:tcW w:w="2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objawami kostnymi w przebiegu hipofosfatazji (HPP)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40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3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za osobodzień</w:t>
              <w:br w:type="textWrapping"/>
              <w:t>- nie można łączyć ze świadczeniami rozliczanymi w zał. nr 1a, 1b, 1e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4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rozliczane raz na 3 miesiące (-14 dni) u pacjentów, u których po kompleksowej ocenie stanu zdrowia możliwe jest wyznaczenie kolejnego terminu wizyty za 3 m-ce;</w:t>
              <w:br w:type="textWrapping"/>
              <w:t>- w okresie 3 miesięcy (-14 dni) od daty sprawozdania świadczenia o kodzie 5.08.07.0000026 nie dopuszcza się możliwości rozliczenia świadczenia o kodzie 5.08.07.0000001, 5.08.07.0000002, 5.08.07.0000003, 5.08.07.0000004;</w:t>
              <w:br w:type="textWrapping"/>
              <w:t>- nie można łączyć ze świadczeniami rozliczanymi w zał. nr 1a, 1b, 1e</w:t>
            </w:r>
          </w:p>
        </w:tc>
        <w:tc>
          <w:tcPr>
            <w:tcW w:w="15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- nie można łączyć ze świadczeniami rozliczanymi w zał. nr 1a, 1b, 1e;</w:t>
              <w:br w:type="textWrapping"/>
              <w:t>- w przypadku realizacji zakresu o kodzie 03.0000.312.02 oraz 03.0000.365.02 dotyczy tylko kwalifikacji do leczenia tisagenlecleucelem albo aksykabtagenem cyloleucelu albo breksukabtagenem autoleucelu przez zespół koordynacyjny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 można łączyć ze świadczeniami z</w:t>
            </w:r>
            <w:r>
              <w:rPr>
                <w:i w:val="1"/>
                <w:sz w:val="18"/>
              </w:rPr>
              <w:t xml:space="preserve"> Katalogu leków refundowanych stosowanych w programach lekowych </w:t>
            </w:r>
            <w:r>
              <w:rPr>
                <w:sz w:val="18"/>
              </w:rPr>
              <w:t>w zakresie koncentratów czynników krzepnięcia</w:t>
            </w:r>
          </w:p>
          <w:p>
            <w:pPr>
              <w:jc w:val="center"/>
            </w:pPr>
            <w:r>
              <w:rPr>
                <w:sz w:val="18"/>
              </w:rPr>
              <w:t>- nie można łączyć ze świadczeniami rozliczanymi w zał. nr 1a, 1b, 1e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świadczeniami rozliczanymi w zał. nr 1a, 1b, 1e;</w:t>
              <w:br w:type="textWrapping"/>
              <w:t>produkt możliwy do rozliczenia jedynie w przypadku zastosowania i wykazania do rozliczenia procedury zgodnie ze słownikiem ICD9: 89.394, 89.395 i/lub 88.793</w:t>
            </w:r>
          </w:p>
        </w:tc>
        <w:tc>
          <w:tcPr>
            <w:tcW w:w="13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3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2024-10-29T08:13:50Z</dcterms:created>
  <cp:lastModifiedBy>Michalak Alicja</cp:lastModifiedBy>
  <dcterms:modified xsi:type="dcterms:W3CDTF">2024-11-07T09:06:53Z</dcterms:modified>
  <cp:revision>87</cp:revision>
  <dc:subject>zmieniające zarządzenie w sprawie określenia warunków zawierania i realizacji umów w rodzaju leczenie szpitalne w zakresie programy lekowe</dc:subject>
  <dc:title>Zarządzenie z dnia 29 października 2024 r.</dc:title>
</cp:coreProperties>
</file>