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6AB7F7" Type="http://schemas.openxmlformats.org/officeDocument/2006/relationships/officeDocument" Target="/word/document.xml" /><Relationship Id="coreR4E6AB7F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100/2022/DSOZ</w:t>
        <w:br w:type="textWrapping"/>
        <w:t>Prezesa Narodowego Funduszu Zdrowia</w:t>
        <w:br w:type="textWrapping"/>
        <w:t>z dnia 1 sierpnia 2022 r.</w:t>
      </w:r>
    </w:p>
    <w:tbl>
      <w:tblPr>
        <w:tblW w:w="15675" w:type="dxa"/>
        <w:tblInd w:w="-177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90"/>
        </w:trPr>
        <w:tc>
          <w:tcPr>
            <w:tcW w:w="15675" w:type="dxa"/>
            <w:gridSpan w:val="12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Katalog zakresów w rodzaju świadczenia zdrowotne kontraktowane odrębnie - Kompleksowa opieka nad rodzinami z wysokim, dziedzicznie uwarunkowanym ryzykiem zachorowania na nowotwory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53"/>
        </w:trPr>
        <w:tc>
          <w:tcPr>
            <w:tcW w:w="555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 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770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 </w:t>
            </w:r>
          </w:p>
        </w:tc>
        <w:tc>
          <w:tcPr>
            <w:tcW w:w="1080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885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Taryfa</w:t>
              <w:br w:type="textWrapping"/>
              <w:t xml:space="preserve">ustalona </w:t>
              <w:br w:type="textWrapping"/>
              <w:t xml:space="preserve">przez </w:t>
              <w:br w:type="textWrapping"/>
              <w:t>AOTMiT</w:t>
            </w:r>
          </w:p>
        </w:tc>
        <w:tc>
          <w:tcPr>
            <w:tcW w:w="1095" w:type="dxa"/>
            <w:vMerge w:val="restart"/>
            <w:tcBorders>
              <w:top w:val="nil" w:sz="0" w:space="0" w:shadow="0" w:frame="0"/>
              <w:left w:val="single" w:sz="4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Wartość punktowa produktu rozliczeniowego</w:t>
            </w:r>
          </w:p>
        </w:tc>
        <w:tc>
          <w:tcPr>
            <w:tcW w:w="33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warunki wykonania</w:t>
            </w:r>
          </w:p>
        </w:tc>
        <w:tc>
          <w:tcPr>
            <w:tcW w:w="22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uwagi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75"/>
        </w:trPr>
        <w:tc>
          <w:tcPr>
            <w:tcW w:w="5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świadczenie wykonywane w warunkach domowych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świadczenie wykonywane w trybie ambulatoryjnym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świadczenie wykonywane w trybie hospitalizacji</w:t>
            </w:r>
          </w:p>
        </w:tc>
        <w:tc>
          <w:tcPr>
            <w:tcW w:w="22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653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5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</w:t>
            </w: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9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11.1212.010.02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piersi lub raka jajnika</w:t>
            </w: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sz w:val="18"/>
                <w:lang w:val="pl-PL" w:bidi="pl-PL" w:eastAsia="pl-PL"/>
              </w:rPr>
              <w:t>5.10.00.0000188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W40 Świadczenie pierwszorazowe 1-go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5.10.00.0000170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u osób z mutacją w genach BRCA1, BRCA2 lub PALB2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6 miesięcy oraz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7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u osób z mutacjami innymi niż w genach BRCA1, BRCA2 lub PALB2 oraz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2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5.10.00.0000189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W12 Świadczenie specjalistyczne 2-go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sz w:val="18"/>
                <w:lang w:val="pl-PL" w:bidi="pl-PL" w:eastAsia="pl-PL"/>
              </w:rPr>
              <w:t>5.10.00.0000190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W13 Świadczenie specjalistyczne 3-go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23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sz w:val="18"/>
                <w:lang w:val="pl-PL" w:bidi="pl-PL" w:eastAsia="pl-PL"/>
              </w:rPr>
              <w:t>5.10.00.0000191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W14 Świadczenie specjalistyczne 4-go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3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sz w:val="18"/>
                <w:lang w:val="pl-PL" w:bidi="pl-PL" w:eastAsia="pl-PL"/>
              </w:rPr>
              <w:t>5.10.00.0000192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piersi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wykazania z innymi produktami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57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5.10.00.0000193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Z88 Świadczenia zabiegowe - grupa 88</w:t>
            </w:r>
            <w:r>
              <w:rPr>
                <w:sz w:val="20"/>
                <w:lang w:val="pl-PL" w:bidi="pl-PL" w:eastAsia="pl-PL"/>
              </w:rPr>
              <w:t>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69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5.10.00.0000194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Z105 Świadczenia zabiegowe - grupa 105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44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5.10.00.0000195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Z110 Świadczenia zabiegowe - grupa 110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6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5.10.00.0000196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Z22 Świadczenia zabiegowe - grupa 22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3671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świadczenie zdefiniowane zgodnie z zarządzeniem w rodzaju ambulatoryjna opieka specjalistyczna,</w:t>
              <w:br w:type="textWrapping"/>
              <w:t> - do wykazania z innymi produktami,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5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5.10.00.0000172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BRCA1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5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5.10.00.0000173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CHEK2 i PALB2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5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5.10.00.0000174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BRCA1, BRCA2, PALB2, CHEK2 metodą NGS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1192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75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5.10.00.0000176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immunohistochemiczne w przypadku diagnozy raka piersi w biopsji gruboigłowej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4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5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11.1212.020.02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jelita grubego lub raka błony śluzowej trzonu macicy</w:t>
            </w: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sz w:val="18"/>
                <w:lang w:val="pl-PL" w:bidi="pl-PL" w:eastAsia="pl-PL"/>
              </w:rPr>
              <w:t>5.10.00.0000188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W40 Świadczenie pierwszorazowe 1-go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  oraz zgodnie z zasadami określonymi w poz. 33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18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33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99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5.10.00.0000189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W12 Świadczenie specjalistyczne 2-go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33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96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sz w:val="18"/>
                <w:lang w:val="pl-PL" w:bidi="pl-PL" w:eastAsia="pl-PL"/>
              </w:rPr>
              <w:t>5.10.00.0000190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W13 Świadczenie specjalistyczne 3-go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33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5.10.00.0000197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2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5.10.00.0000198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z biopsją (z badaniem hist.-pat.)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525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66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5.10.00.0000199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z polipektomią jednego lub więcej polipów o średnicy do 1 cm,  za pomocą pętli diatermicznej (z badaniem hist.-pat.)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5.10.00.0000200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(w przypadku wskazań obejmuje test ureazowy) </w:t>
            </w:r>
            <w:r>
              <w:rPr>
                <w:sz w:val="20"/>
                <w:lang w:val="pl-PL" w:bidi="pl-PL" w:eastAsia="pl-PL"/>
              </w:rPr>
              <w:t>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83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 1 badanie hist.-pat  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9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5.10.00.0000202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  2 lub więcej badań hist.-pat.</w:t>
            </w:r>
            <w:r>
              <w:rPr>
                <w:sz w:val="20"/>
                <w:lang w:val="pl-PL" w:bidi="pl-PL" w:eastAsia="pl-PL"/>
              </w:rPr>
              <w:t>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6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5.10.00.0000203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całkowite dożylne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172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świadczenie do sumowania z procedurami: 45.231, 45.253, 45.239, 45.42 , 44.162, 44.13 w ramach produktów: 5.06.00.0000902, 5.06.00.0000903, 5.03.00.0000042, 5.03.00.0000022, 5.03.00.0000089, 5.03.00.0000008</w:t>
              <w:br w:type="textWrapping"/>
              <w:t> - wymagane wskazanie procedury wg ICD-9: 100.10 albo 100.11 albo 100.12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38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5.10.00.0000204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 zakresie kwalifikacji do wykonania znieczulenia do zabiegu diagnostycznego</w:t>
            </w:r>
            <w:r>
              <w:rPr>
                <w:sz w:val="20"/>
                <w:lang w:val="pl-PL" w:bidi="pl-PL" w:eastAsia="pl-PL"/>
              </w:rPr>
              <w:t xml:space="preserve"> - 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świadczenie do sumowania z procedurami: 45.231, 45.253, 45.239, 45.42 , 44.162, 44.13 w ramach produktów: 5.06.00.0000902, 5.06.00.0000903, 5.03.00.0000042, 5.03.00.0000022, 5.03.00.0000089, 5.03.00.0000008</w:t>
              <w:br w:type="textWrapping"/>
              <w:t> - porada nie stanowi kwalifikacji pacjenta do znieczulenia przeprowadzanej nie później niż 24 godziny przed zabiegiem w trybie planowym, o której mowa w rozporządzeniu Ministra Zdrowia z dnia 16 grudnia 2016 r. w sprawie standardu organizacyjnego opieki zdrowotnej w dziedzinie anestezjologii i intensywnej terapii (Dz. U. 2020 r. poz. 940 z późn. zm)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38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38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5.10.00.0000177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APC, MLH1, MSH2, MSH6, PMS2, STK11, SMAD4, BMPR1A, MUTYH, EPCAM, PTEN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4164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38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5.10.00.0000178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genetyczne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38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5.10.00.0000179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immunohistochemiczne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07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5.10.00.0000180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APC wykonywane metodami biologii molekularnej (PCR i jej modyfikacje, RFLP, sekwencjonowanie Sangera, MLPA):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56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MLH1, MSH2, MSH6, PMS2 wykonywane metodami biologii molekularnej (PCR i jej modyfikacje, RFLP, sekwencjonowanie Sangera, MLPA)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99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5.10.00.0000182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w kierunku wykrycia mutacji w genie STK11 wykonywane metodami biologii molekularnej (PCR i jej modyfikacje, RFLP, sekwencjonowanie Sangera, MLPA)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6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5.10.00.0000183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SMAD4 i BMPR1A wykonywane metodami biologii molekularnej (PCR i jej modyfikacje, RFLP, sekwencjonowanie Sangera, MLPA)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5.10.00.0000184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MUTYH wykonywane metodami biologii molekularnej (PCR i jej modyfikacje, RFLP, sekwencjonowanie Sangera, MLPA)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80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5.10.00.0000185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Wykrycie nosicielstwa mutacji w genach APC, MLH1, MSH2, MSH6, PMS2, STK11, SMAD4, BMPR1A, MUTYH, EPCAM, PTEN, wykonywanego metodami biologii molekularnej z zastosowaniem techniki sekwencjonowania następnej generacji (NGS)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07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11.1212.030.02</w:t>
            </w: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siatkówczaka lub chorobę von Hippel-Lindau (VHL)</w:t>
            </w: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sz w:val="18"/>
                <w:lang w:val="pl-PL" w:bidi="pl-PL" w:eastAsia="pl-PL"/>
              </w:rPr>
              <w:t>5.10.00.0000188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W40 Świadczenie pierwszorazowe 1-go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34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88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34 załącznika nr 5 do rozporządzenia AOS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219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5.10.00.0000205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W11 Świadczenie specjalistyczne 1-go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34 załącznika nr 5 do rozporządzenia AOS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92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5.10.00.0000189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W12 Świadczenie specjalistyczne 2-go typu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na warunkach obowiązującej charakterystyki grup ambulatoryjnych świadczeń specjalistycznych określonej w obowiązującym zarządzeniu w rodzaju ambulatoryjna opieka specjalistyczna oraz zgodnie z zasadami określonymi w poz. 34 załącznika nr 5 do rozporządzenia AOS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8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5.10.00.0000206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głowy bez wzmocnienia kontrastowego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9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5.10.00.0000207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głowy bez i ze wzmocnieniem kontrastowym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44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5.10.00.0000208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jednego odcinka kręgosłupa lub kanału kręgowego bez wzmocnienia kontrastowego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4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5.10.00.0000209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jednej okolicy anatomicznej innej niż kręgosłup bez wzmocnienia kontrastowego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44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5.10.00.0000210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jednego odcinka kręgosłupa lub kanału kręgowego bez i ze wzmocnieniem kontrastowym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38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5.10.00.0000211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jednej okolicy anatomicznej innej niż odcinek kręgosłupa bez i ze wzmocnieniem kontrastowym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05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5.10.00.0000212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dwóch odcinków kręgosłupa bez wzmocnienia kontrastowego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5.10.00.0000213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trzech odcinków kręgosłupa bez wzmocnienia kontrastowego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1028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5.10.00.0000214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dwóch odcinków kręgosłupa bez i ze wzmocnieniem kontrastowym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5.10.00.0000215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badanie trzech odcinków kręgosłupa bez i ze wzmocnieniem kontrastowym</w:t>
            </w:r>
            <w:r>
              <w:rPr>
                <w:sz w:val="20"/>
                <w:lang w:val="pl-PL" w:bidi="pl-PL" w:eastAsia="pl-PL"/>
              </w:rPr>
              <w:t xml:space="preserve"> --1b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1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5.10.00.0000216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badanie innej okolicy anatomicznej bez wzmocnienia kontrastowego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11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color w:val="000000"/>
                <w:sz w:val="18"/>
                <w:u w:val="none" w:color="000000"/>
                <w:lang w:val="pl-PL" w:bidi="pl-PL" w:eastAsia="pl-PL"/>
              </w:rPr>
              <w:t>5.10.00.0000217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badanie innej okolicy anatomicznej bez i ze wzmocnieniem kontrastowym</w:t>
            </w:r>
            <w:r>
              <w:rPr>
                <w:sz w:val="20"/>
                <w:lang w:val="pl-PL" w:bidi="pl-PL" w:eastAsia="pl-PL"/>
              </w:rPr>
              <w:t xml:space="preserve"> - 1b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556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945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5.10.00.0000186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RB1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1231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 AOS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0"/>
          <w:trHeight w:hRule="atLeast" w:val="1230"/>
        </w:trPr>
        <w:tc>
          <w:tcPr>
            <w:tcW w:w="5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5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5.10.00.0000187</w:t>
            </w:r>
          </w:p>
        </w:tc>
        <w:tc>
          <w:tcPr>
            <w:tcW w:w="17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VHL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 AOS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Beata.Kasinska</dc:creator>
  <dcterms:created xsi:type="dcterms:W3CDTF">2022-07-29T15:32:19Z</dcterms:created>
  <cp:lastModifiedBy>Mysińska Monika</cp:lastModifiedBy>
  <dcterms:modified xsi:type="dcterms:W3CDTF">2022-08-01T14:34:20Z</dcterms:modified>
  <cp:revision>41</cp:revision>
  <dc:subject>zmieniające zarządzenie w sprawie określenia warunków zawierania i realizacji umów w rodzaju świadczenia zdrowotne kontraktowane odrębnie</dc:subject>
  <dc:title>Zarządzenie</dc:title>
</cp:coreProperties>
</file>