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C2E2338" Type="http://schemas.openxmlformats.org/officeDocument/2006/relationships/officeDocument" Target="/word/document.xml" /><Relationship Id="coreR5C2E233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99/2022/DGL</w:t>
        <w:br w:type="textWrapping"/>
        <w:t>Prezesa Narodowego Funduszu Zdrowia</w:t>
        <w:br w:type="textWrapping"/>
        <w:t>z dnia 28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</w:t>
        <w:br w:type="textWrapping"/>
        <w:t>substancje czynne zawarte w lekach czasowo niedostępnych w obrocie na terytorium RP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6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substancji czynnej</w:t>
            </w:r>
          </w:p>
        </w:tc>
        <w:tc>
          <w:tcPr>
            <w:tcW w:w="20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1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4155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384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7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38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5.08.07.0000104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encorafenibum - p.o.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(50 mg, 28 kaps.)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2 341,71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 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w okresie od dnia 29 marca 2021 r. do dnia 31 sierpnia 2022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5.08.07.0000105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tenofovirum disoproxilum - p.o.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(245 mg, 30 tabl.)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340,20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 xml:space="preserve">stosuje się do rozliczania świadczeń udzielanych w okresie od dnia 18 lutego 2022 r.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2022-07-25T15:08:19Z</dcterms:created>
  <cp:lastModifiedBy>Piekutowska Agnieszka</cp:lastModifiedBy>
  <dcterms:modified xsi:type="dcterms:W3CDTF">2022-07-28T11:20:48Z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