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7EDF23D" Type="http://schemas.openxmlformats.org/officeDocument/2006/relationships/officeDocument" Target="/word/document.xml" /><Relationship Id="coreR67EDF23D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5 do zarządzenia Nr 8/2024/DSM</w:t>
        <w:br w:type="textWrapping"/>
        <w:t>Prezesa Narodowego Funduszu Zdrowia</w:t>
        <w:br w:type="textWrapping"/>
        <w:t>z dnia 26 stycznia 2024 r.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494"/>
        </w:trPr>
        <w:tc>
          <w:tcPr>
            <w:tcW w:w="870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 xml:space="preserve">Dodatkowy potencjał wykonawczy świadczeniodawcy </w:t>
            </w:r>
            <w:r>
              <w:rPr>
                <w:sz w:val="20"/>
              </w:rPr>
              <w:t>(organizacyjny i kadrowy)</w:t>
            </w:r>
          </w:p>
        </w:tc>
        <w:tc>
          <w:tcPr>
            <w:tcW w:w="138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max. 100 %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0"/>
        </w:trPr>
        <w:tc>
          <w:tcPr>
            <w:tcW w:w="8700" w:type="dxa"/>
            <w:gridSpan w:val="2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wpływający na realizację świadczeń w SOR</w:t>
            </w: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0"/>
        </w:trPr>
        <w:tc>
          <w:tcPr>
            <w:tcW w:w="8700" w:type="dxa"/>
            <w:gridSpan w:val="2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 xml:space="preserve">warunki organizacyjne 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max. 43%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08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w strukturze organizacyjnej podmiotu leczniczego, poza oddziałami wymaganymi rozporządzeniem Ministra Zdrowia w sprawie szpitalnego oddziału ratunkowego, w lokalizacji SOR, funkcjonują komórki organizacyjne realizujące świadczenia w trybie całodobowym z wyodrębnionym dyżurem lekarskim: 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max. 20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0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a)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oddział kardiologiczny z pracownią hemodynamiki/ oddział kardiologii dla dzieci*,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0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oddział kardiochirurgiczny/ oddział kardiochirurgii dla dzieci*,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0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oddział neurochirurgiczny/ oddział neurochirurgiczny dla dzieci*,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6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oddział chirurgii naczyniowej/ oddział chirurgii dziecięcej w przypadku wykonywania procedur dot. chirurgii naczyniowej*,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0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e)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oddział neurologiczny z oddziałem udarowym/ oddział neurologiczny dla dzieci*,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6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oddział chirurgii klatki piersiowej/ oddział chirurgii dziecięcej w przypadku wykonywania procedur dot. chirurgii klatki piersiowej*,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0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oddział chirurgii szczękowo-twarzowej/ oddział chirurgii szczękowo-twarzowej dla dzieci*,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0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h)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oddział okulistyczny/ oddział okulistyczny dla dzieci*,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0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oddział otolaryngologiczny/ oddział otolaryngologiczny dla dzieci*,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0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oddział chirurgii dziecięcej (dot. podmiotów realizujących świadczenia na rzecz dorosłych),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0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oddział patologii noworodka*;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6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obszar resuscytacyjno - zabiegowy składa się z następującej ilości stanowisk (</w:t>
            </w:r>
            <w:r>
              <w:rPr>
                <w:i w:val="1"/>
                <w:sz w:val="20"/>
              </w:rPr>
              <w:t>podać w przypadku ilości &gt; niż 2 stanowiska</w:t>
            </w:r>
            <w:r>
              <w:rPr>
                <w:sz w:val="20"/>
              </w:rPr>
              <w:t>) - 2 pkt za każde stanowisko, max. 4 pkt ;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max. 4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2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obszar wstępnej intensywnej terapii składa się z następującej ilości stanowisk intensywnej terapii (</w:t>
            </w:r>
            <w:r>
              <w:rPr>
                <w:i w:val="1"/>
                <w:sz w:val="20"/>
              </w:rPr>
              <w:t xml:space="preserve">podać w przypadku ilości &gt; niż 1 stanowisko) - </w:t>
            </w:r>
            <w:r>
              <w:rPr>
                <w:sz w:val="20"/>
              </w:rPr>
              <w:t>2 pkt za każde stanowisko, max. 4 pkt ;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max. 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6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obszar obserwacji składa się z następującej ilości stanowisk (</w:t>
            </w:r>
            <w:r>
              <w:rPr>
                <w:i w:val="1"/>
                <w:sz w:val="20"/>
              </w:rPr>
              <w:t xml:space="preserve">podać w przypadku ilości &gt; niż 4 stanowiska) - </w:t>
            </w:r>
            <w:r>
              <w:rPr>
                <w:sz w:val="20"/>
              </w:rPr>
              <w:t>2 pkt za każde stanowisko, max. 6 pkt;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max. 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0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zapewnienie realizacji badań rezonansu magnetycznego - całodobowo w lokalizacji;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6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zapewnienie możliwości realizacji tlenoterapii w komorze hiperbarycznej typu "mono - place"- całodobowo w lokalizacji;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2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podmiot leczniczy posiada całodobowe lotnisko lub lądowisko, o którym mowa w § 3 ust 7-10 rozporządzenia Ministra Zdrowia w sprawie szpitalnego oddziału ratunkowego (wpisane do rejestru Prezesa Urzędu Lotnictwa Cywilnego);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6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podmiot leczniczy posiada własny transport sanitarny porównywalny ze specjalistycznym zespołem ratownictwa medycznego.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0"/>
        </w:trPr>
        <w:tc>
          <w:tcPr>
            <w:tcW w:w="8700" w:type="dxa"/>
            <w:gridSpan w:val="2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 xml:space="preserve">warunki kadrowe 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max. 57 %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0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1) 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zapewnienie realizacji świadczeń całodobowo w jednym z poniższych wariantów: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6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a)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przez lekarza posiadającego specjalizację w dziedzinie medycyny ratunkowej - przebywającego stale w oddziale,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2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przez lekarza posiadającego specjalizację w dziedzinie medycyny ratunkowej i dodatkowo lekarza, który ukończył co najmniej drugi rok specjalizacji w dziedzinie medycyny ratunkowej - przebywających jednoczasowo w oddziale, 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6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przez co najmniej dwóch lekarzy specjalistów posiadających specjalizację w dziedzinie medycyny ratunkowej - przebywających jednoczasowo w oddziale,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08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przez lekarza posiadającego specjalizację w dziedzinie medycyny ratunkowej i lekarza, który ukończył co najmniej drugi rok specjalizacji w dziedzinie medycyny ratunkowej i dodatkowo przez co najmniej jednego lekarza systemu - przebywających jednoczasowo w oddziale;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6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zapewnienie do realizacji świadczeń dodatkowo (dotyczy również specjalizacji dziecięcych w przypadku szpitali dziecięcych) - nie dotyczy konsultacji telefonicznych 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35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a)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lekarza specjalisty w dziedzinie okulistyki albo lekarza z I stopniem specjalizacji w okulistyce albo lekarza w trakcie specjalizacji z okulistyki, zgodnie z § 2 pkt 6 rozporządzenia Ministra Zdrowia w sprawie świadczeń gwarantowanych z zakresu leczenia szpitalnego, przez 24 godziny dla zabezpieczenia potrzeb w zakresie świadczeń z zakresu okulistyki,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96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lekarza specjalisty w dziedzinie laryngologii lub otolaryngologii lub otorynolaryngologii albo lekarza z I stopniem specjalizacji w laryngologii lub otolaryngologii lub otorynolaryngologii albo lekarza w trakcie specjalizacji z laryngologii lub otolaryngologii lub otorynolaryngologii, zgodnie z § 2 pkt 6 rozporządzenia Ministra Zdrowia w sprawie świadczeń gwarantowanych z zakresu leczenia szpitalnego przez 24 godziny dla zabezpieczenia potrzeb w zakresie świadczeń z zakresu laryngologii lub otolaryngologii lub otorynolaryngologii,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20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zapewnienie całodobowo konsultacji specjalistycznych przez lekarzy posiadających tytuł specjalisty w dziedzinie: kardiochirurgii lub torakochirurgii lub kardiologii lub neurochirurgii lub neurologii lub ortopedii i traumatologii lub chirurgii naczyniowej - za każdego specjalistę 2 pkt, max. 10 pkt;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max. 10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0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zapewnienie realizacji świadczeń całodobowo w jednym z poniższych wariantów: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2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a)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przez co najmniej dwie pielęgniarki posiadające tytuł specjalisty w dziedzinie pielęgniarstwa ratunkowego lub pielęgniarstwa anestezjologicznego i intensywnej opieki lub pielęgniarstwa chirurgicznego lub pielęgniarstwa pediatrycznego,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6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przez co najmniej trzy osoby personelu - pielęgniarki lub ratowników medycznych - jednoczasowo,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6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przez co najmniej cztery osoby personelu - pielęgniarki lub ratowników medycznych - jednoczasowo.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4"/>
        </w:trPr>
        <w:tc>
          <w:tcPr>
            <w:tcW w:w="10080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*) dot. szpitali dziecięcych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14"/>
        </w:trPr>
        <w:tc>
          <w:tcPr>
            <w:tcW w:w="1008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**) ankieta dot. deklarowanych przez Świadczeniodawcę warunków. Dopuszczalne jest zwiększenie deklarowanego potencjału podczas realizowania zawartej umowy.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Malgorzata.Kielek</dc:creator>
  <dcterms:created xsi:type="dcterms:W3CDTF">2024-01-17T12:04:28Z</dcterms:created>
  <cp:lastModifiedBy>Kociubowska Ewa</cp:lastModifiedBy>
  <dcterms:modified xsi:type="dcterms:W3CDTF">2024-01-26T12:01:25Z</dcterms:modified>
  <cp:revision>144</cp:revision>
  <dc:subject>w sprawie określenia warunków zawierania i realizacji umów o udzielanie świadczeń opieki zdrowotnej w rodzaju leczenie szpitalne w zakresie świadczenia w szpitalnym oddziale ratunkowym oraz w zakresie świadczenia w izbie przyjęć</dc:subject>
  <dc:title>Zarządzenie</dc:title>
</cp:coreProperties>
</file>