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73384C" Type="http://schemas.openxmlformats.org/officeDocument/2006/relationships/officeDocument" Target="/word/document.xml" /><Relationship Id="coreR7573384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Wartości stawek kapitacyjnych, porad i ryczałtów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świadczenia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 rozliczeniowa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jednostki rozliczeniowej w zł.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3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lekarza poz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178,80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9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78,38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osobom spoza listy świadczeniobiorców innym niż ubezpieczone uprawnionym do świadczeń zgodnie z treścią art. 2 ust. 1 pkt. 2-4 oraz art. 54 ustawy, osobom uprawnionym jedynie na podstawie przepisów art. 12 pkt 6 lub 9 ustawy oraz obcokrajowcom posiadającym ubezpieczenie zdrowotne na podstawie zgłoszenia, w związku z czasowym zatrudnieniem na terytorium RP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78,38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9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78,38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w ramach kwalifikacji do realizacji transportu ,,dalekiego” w POZ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20,90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52,25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  zapewnieniem dostępności do świadczeń na terenach o małej gęstości zaludnienia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313,50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wydaniem zaświadczenia osobie niezdolnej do samodzielnej egzystencji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78,38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ubezpieczona, uprawnionej do świadczeń na podstawie art. 37 ust. 1 ustawy o pomocy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uprawnionej do świadczeń na podstawie art. 37 ust. 1 ustawy o pomocy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Budżet powierzony diagnostyczny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Ferrytyna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Witamina B12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Kwas foliowy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Anty–CCP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Strep-test *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pielęgniarki poz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43,80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9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2.1a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44,04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3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5,23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2.4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osobom spoza listy świadczeniobiorców innym niż ubezpieczone uprawnionym do świadczeń zgodnie z treścią art. 2 ust. 1 pkt. 2-4 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2.6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3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położnej poz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 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28,92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29,16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3.4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30,31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40,76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w stanach nagłych zachorowań świadczeniobiorcom spoza OW oraz z terenu OW ale spoza gminy własnej i sąsiadujących i spoza listy zadeklarowanych pacjentów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3.8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osobom spoza listy świadczeniobiorców innym niż ubezpieczone uprawnionym do świadczeń zgodnie z treścią art. 2 ust. 1 pkt. 2-4 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3.9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3.10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– pobranie materiału z szyjki macicy do przesiewowego badania cytologicznego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20,90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224,68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15. do 20.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3.14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175,56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27. do 32.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3.16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3.17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38. do 39.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3.18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3.19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9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pielęgniarki lub higienistki szkolnej 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94,20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pielęgniarki lub higienistki szkolnej  – certyfikat akredytacji w zakresie POZ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95,28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Stawka kapitacyjna 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5,88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6,12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7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5.2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transportu sanitarnego „dalekiego” w POZ – przewóz na odległość (tam i z powrotem) 121 - 400 km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Ryczałt za przewóz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246,62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9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5.3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transportu sanitarnego „dalekiego” w POZ – przewozy na odległość (tam i z powrotem) powyżej 400 km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6.1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koordynacja opieki - zadania koordynatora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6,24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18"/>
              </w:rPr>
              <w:t xml:space="preserve">*Świadczenia o których mowa w załączniku nr 1 Część IVa rozporządzenia MZ-  świadczenia realizowane w ramach budżetu powierzonego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2022-06-29T10:56:31Z</dcterms:created>
  <cp:lastModifiedBy>Wieczorek Damian</cp:lastModifiedBy>
  <dcterms:modified xsi:type="dcterms:W3CDTF">2022-06-29T09:58:16Z</dcterms:modified>
  <cp:revision>10</cp:revision>
  <dc:subject>w sprawie warunków zawarcia i realizacji umów o udzielanie świadczeń opieki zdrowotnej w  rodzaju podstawowa opieka zdrowotna</dc:subject>
  <dc:title>Zarządzenie</dc:title>
</cp:coreProperties>
</file>