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DC8C731" Type="http://schemas.openxmlformats.org/officeDocument/2006/relationships/officeDocument" Target="/word/document.xml" /><Relationship Id="coreR5DC8C73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71/2022/DGL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tisagenlecleucelem w programie lekowym Leczenie chorych na ostrą białaczkę limfoblastyczną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kwalifikacja do leczenia tisagenlecleucelem chorych na nawrotową/oporną ostrą białaczkę limfoblastyczną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C91.0 – ostra białaczka limfoblastyczna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onkologii i hematologii dziecięcej lub transplantologii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1) </w:t>
            </w:r>
            <w:r>
              <w:rPr>
                <w:sz w:val="20"/>
              </w:rPr>
              <w:t>kryteria kwalifikacji zostały określone w opisie programu lekowego;</w:t>
            </w:r>
          </w:p>
          <w:p>
            <w:pPr>
              <w:jc w:val="both"/>
            </w:pPr>
            <w:r>
              <w:t xml:space="preserve">2) </w:t>
            </w:r>
            <w:r>
              <w:rPr>
                <w:sz w:val="20"/>
              </w:rPr>
              <w:t>kwalifikacja lub weryfikacja skuteczności leczenia dokonywana jest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2. </w:t>
            </w:r>
            <w:r>
              <w:rPr>
                <w:b w:val="1"/>
                <w:sz w:val="24"/>
              </w:rPr>
              <w:t xml:space="preserve">Wzory dokumentów niezbędnych dla kwalifikacji pacjenta do </w:t>
            </w:r>
            <w:r>
              <w:rPr>
                <w:b w:val="1"/>
              </w:rPr>
              <w:t>terapii tisagenlecleucelem przez Zespół Koordynacyjny ds. CAR-T w leczeniu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Wniosek o zakwalifikowanie pacjenta do leczenia z zastosowaniem terapii tisagenlecleucelem w programie lekowym Leczenie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Imię i nazwisko</w:t>
            </w:r>
          </w:p>
        </w:tc>
        <w:tc>
          <w:tcPr>
            <w:tcW w:w="4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Leczenie dotyczy: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pacjenci w wieku do 25 lat nawrotowej lub opornej ostrej białaczki limfoblastycznej z komórek 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Kryteria kwalifikacji do leczenia tisagenlecleucelem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Warunki (1-5) oraz kryteria funkcjonalne (punkt 6):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drugi lub kolejny nawrót w szpiku kostnym;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2) nawrót (w szpiku kostnym) po przeszczepieniu allogenicznych krwiotwórczych komórek macierzystych (allo-HSCT) i po co najmniej 4 miesiącach przerwy pomiędzy allo-HSCT a podaniem tisagenlecleucelu; 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pierwotna oporność na leczenie definiowana jako nieosiągnięcie całkowitej remisji (CR) po 2 cyklach standardowej chemioterapii lub chemiooporność definiowana jako nieosiągnięcie CR po jednym cyklu leczenia reindukującego stosowanego w nawrocie ALL;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ALL z obecnym chromosomem Philadelphia z nietolerancją lub z niepowodzeniem co najmniej dwóch linii leczenia inhibitorami kinazy tyrozynowej (TKI) albo przeciwskazania do terapii TKI;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brak kwalifikacji do allo-HSCT ze względu na choroby współistniejące, przeciwwskazania do leczenia kondycjonującgo przed allo-HSCT, brak odpowiedniego dawcy lub wcześniejsze allo-HSCT.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kryteria funkcjonalne pacjenta muszą być spełnione łącznie:</w:t>
            </w:r>
          </w:p>
          <w:p>
            <w:pPr>
              <w:jc w:val="both"/>
            </w:pPr>
            <w:r>
              <w:t>6a) prawidłowa funkcja nerek (klirens kreatyniny powyżej 60 ml/min/1,73 m</w:t>
            </w:r>
            <w:r>
              <w:rPr>
                <w:vertAlign w:val="superscript"/>
              </w:rPr>
              <w:t>2</w:t>
            </w:r>
            <w:r>
              <w:t xml:space="preserve"> albo stężenie kreatyniny w surowicy w normie według wieku i płci);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6b) aktywność aminotransferazy alaninowej ≤ 5 razy powyżej górnej granicy normy dla wieku;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6c) stężenie bilirubiny &lt;2,0 mg/dl;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6d) funkcja skurczowa lewej komory ≥28% potwierdzona przez echokardiogram lub frakcja wyrzutowa lewej komory ≥45% potwierdzona za pomocą echokardiogramu;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6e) stan sprawności wg skali Karnofsky’ego (wiek ≥16 lat) lub Lansky’ego (wiek &lt;16 lat) ≥50;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6f) przewidywany czas przeżycia pacjenta co najmniej 12 tygodni od momentu kwalifikacji do programu.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Przeciwwskazania do włączenia do programu: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2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Warunki 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ciąża lub karmienie piersią;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izolowana pozaszpikowa wznowa ALL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zajęcie ośrodkowego układu nerwowego przez ALL;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aktywne niekontrolowane zakażenie systemowe;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zakażenie HIV;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aktywne wirusowe zapalenie wątroby typu B,C;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7) współistnienie wrodzonych chorób genetycznych przebiegających z upośledzoną czynnością szpiku, takich jak niedokrwistość Fanconiego, zespół Kostmanna, zespół Schwachmana-Diamonda i innych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8) przewlekła choroba przeszczep przeciw gospodarzowi (GvHD) w stopniu 2-4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9) obecność przeciwwskazań do stosowania chemioterapii limfodeplecyjnej z zastosowaniem takich leków, jak: fludarabina i cyklofosfamid lub cytarabina i etopozyd.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statusu choroby: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fizykalne i ocena objawów ze strony centralnego układu nerwowego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cytologiczna, cytometryczna wraz z potwierdzeniem obecności antygenu CD19 na blastach białaczkowych i/lub ocena molekularna szpiku kostnego dokumentująca oporność/nawrót choroby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obrazowe centralnego układu nerwowego (CT lub NMR) (można wprowadzić opis badania lub dołączyć skan opisu przeprowadzonych badań obrazowych):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płynu mózgowo-rdzeniowego (w uzasadnionych przypadkach)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parametrów krzepnięcia krwi (należy podać stosowane jednostki i zakres normy):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PT: 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aPTT: 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INR: 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Fibrynogen: 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D-dimery: 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Oznaczenie stężenia immunoglobuliny G: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badania oceniające funkcje innych narządów: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Echo serca lub MUGA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EKG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Aktywność ALT: ................, AST: …..…...; stężenie bilirubiny:.........................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Stężenie kreatyniny: ................................ ; eGFR: 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Morfologia krwi (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można wprowadzić opis badania lub dołączyć skan opisu przeprowadzonego badania):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Inne: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B: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HBsAg: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anty-HBc: 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anty-HBs: 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HBV DNA (w przypadku dodatnich anty-HBc):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C: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anty-HCV: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HCV RNA (w przypadku dodatnich anty-HCV):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Wyniki badań w kierunku zakażenia wirusem  HIV: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anty-HIV: 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Test ciążowy (u kobiet z możliwością zajścia w ciążę): 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Epikryza: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innych badań oraz informacje o stanie klinicznym istotne z punktu widzenia kwalifikacji do leczenia w programie lekowym: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…………………………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nadruk lub pieczątka zawierające imię i nazwisko lekarza, numer prawa wykonywania zawodu oraz jego podpis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 dnia……………………..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Decyzja dotycząca kwalifikacji do leczenia z zastosowaniem terapii tisagenlecleucelem w programie lekowym Leczenie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Przewodniczący Zespołu Koordynacyjnego ds. CAR-T w leczeniu chorych na ostrą białaczkę limfoblastyczną:</w:t>
            </w:r>
          </w:p>
          <w:p>
            <w:pPr>
              <w:jc w:val="left"/>
            </w:pPr>
            <w:r>
              <w:t>Pan/Pani: 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Dotyczy pacjenta:</w:t>
            </w:r>
          </w:p>
          <w:p>
            <w:pPr>
              <w:jc w:val="left"/>
            </w:pPr>
            <w:r>
              <w:t>Imię i nazwisko: ……………………………………………PESEL: ………………………….</w:t>
            </w:r>
          </w:p>
          <w:p/>
          <w:p>
            <w:pPr>
              <w:jc w:val="left"/>
            </w:pPr>
            <w:r>
              <w:t>Świadczeniodawca wnioskujący: ………………………………………………………………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Lek: Kymriah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Decyzja: Pozytywna/Negatywna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>Data decyzji:……………………..……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>……...………………………………….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 Przewodniczącego Zespołu Koordynacyjnego ds. CAR-T  w leczeniu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Administrator danych osobowych, przetwarzający dane niezbędne przy realizacji programu lekowego zobowiązany jest do stosowania przepisów Rozporządzenia Parlamentu Europejskiego i Rady (UE) 2016/679 z dnia 27 kwietnia 2016 r. w sprawie ochrony osób fizycznych w związku z przetwarzaniem danych osobowych i w sprawie swobodnego przepływu takich danych oraz uchylenia dyrektywy 95/46/WE (Ogólne rozporządzenie o ochronie danych - RODO).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2.1 </w:t>
            </w:r>
            <w:r>
              <w:rPr>
                <w:b w:val="1"/>
                <w:sz w:val="28"/>
              </w:rPr>
              <w:t>Załącznik do wniosku o zakwalifikowanie pacjenta do leczenia tisagenlecleucelem w programie lekowym Leczenie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Wyrażam zgodę na przetwarzanie moich danych osobowych w celach wynikających z art. 188 oraz art. 188c ustawy o świadczeniach opieki zdrowotnej finansowanych ze środków publicznych.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Zostałam(em) poinformowana(y) o istocie choroby, możliwości wystąpienia objawów niepożądanych i powikłań zastosowanej terapii oraz o możliwości zaprzestania terapii.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Mając powyższe na uwadze, wyrażam zgodę na leczenie tisagenlecleucelem oraz zobowiązuję się do przyjmowania tego leku zgodnie z zaleceniami lekarskimi, oraz stawienia się na badania kontrolne w wyznaczonych terminach.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 xml:space="preserve">Data ................................... 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pacjenta (w przypadku dziecka podpis rodziców lub opiekuna)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left"/>
            </w:pPr>
            <w:r>
              <w:rPr>
                <w:sz w:val="20"/>
              </w:rPr>
              <w:t>Data ...................................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lekarza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Administrator danych osobowych, przetwarzający dane niezbędne przy realizacji programu lekowego zobowiązany jest do stosowania przepisów Rozporządzenia Parlamentu Europejskiego i Rady (UE) 2016/679 z dnia 27 kwietnia 2016 r. w sprawie ochrony osób fizycznych w związku z przetwarzaniem danych osobowych i w sprawie swobodnego przepływu takich danych oraz uchylenia dyrektywy 95/46/WE (Ogólne rozporządzenie o ochronie danych — RODO).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2022-05-31T11:18:23Z</dcterms:created>
  <cp:lastModifiedBy>Mysińska Monika</cp:lastModifiedBy>
  <dcterms:modified xsi:type="dcterms:W3CDTF">2022-06-01T08:24:29Z</dcterms:modified>
  <cp:revision>3</cp:revision>
  <dc:subject>zmieniające zarządzenie w sprawie określenia warunków zawierania i realizacji umów w rodzaju leczenie szpitalne w zakresie programy lekowe</dc:subject>
  <dc:title>Zarządzenie</dc:title>
</cp:coreProperties>
</file>