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80E620" Type="http://schemas.openxmlformats.org/officeDocument/2006/relationships/officeDocument" Target="/word/document.xml" /><Relationship Id="coreR380E62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11 do zarządzenia Nr 71/2022/DGL</w:t>
        <w:br w:type="textWrapping"/>
        <w:t>Prezesa Narodowego Funduszu Zdrowia</w:t>
        <w:br w:type="textWrapping"/>
        <w:t>z dnia 1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pierwotną hiperoksalurię typu 1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kompetencje zespołu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Kwalifikacja do leczenia chorych na pierwotną hiperoksalurię typu 1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chorych na pierwotną hiperoksalurię typu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Hiperoksaluria typu 1 (ICD-10: E74.8)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skojarzone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Zespół Koordynacyjny ds. leczenia chorych na pierwotną hiperoksalurię typu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lekarze specjaliści w dziedzinie nefrologii lub nefrologii dziecięcej, lub chorób wewnętrznych, lub pediatrii metabolicznej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1.7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 kryteria kwalifikacji zostały określone w opisie programu lekowego;</w:t>
            </w:r>
          </w:p>
          <w:p>
            <w:pPr>
              <w:jc w:val="left"/>
            </w:pPr>
            <w:r>
              <w:t>2) kwalifikacja do leczenia dokonywana jest w oparciu o wnioski przedłożone za pośrednictwem elektronicznego systemu monitorowania programów lekowych lub w oparciu o dokument, którego wzór został określony w pkt 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1.8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2. </w:t>
            </w:r>
            <w:r>
              <w:rPr>
                <w:b w:val="1"/>
                <w:sz w:val="24"/>
              </w:rPr>
              <w:t>Wzory dokumentów niezbędnych dla kwalifikacji pacjenta do terapii lumazyranem przez Zespół Koordynacyjny ds. leczenia chorych na pierwotną hiperoksalurię typu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8"/>
              </w:rPr>
              <w:t>Wniosek o kwalifikację do leczenia w programie leczenia chorych na pierwotną hiperoksalurię typu 1 (ICD-10: E74.8)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8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Imię i nazwisko</w:t>
            </w:r>
          </w:p>
        </w:tc>
        <w:tc>
          <w:tcPr>
            <w:tcW w:w="4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Dane do kwalifikacji:</w:t>
            </w:r>
          </w:p>
          <w:p>
            <w:pPr>
              <w:jc w:val="left"/>
            </w:pPr>
            <w:r>
              <w:t>1.</w:t>
            </w:r>
            <w:r>
              <w:rPr>
                <w:sz w:val="24"/>
              </w:rPr>
              <w:t>Wiek pacjenta: ............................</w:t>
            </w:r>
          </w:p>
          <w:p>
            <w:pPr>
              <w:jc w:val="left"/>
            </w:pPr>
            <w:r>
              <w:t>2.</w:t>
            </w:r>
            <w:r>
              <w:rPr>
                <w:sz w:val="24"/>
              </w:rPr>
              <w:t>Wzrost:……………….</w:t>
            </w:r>
          </w:p>
          <w:p>
            <w:pPr>
              <w:jc w:val="left"/>
            </w:pPr>
            <w:r>
              <w:t>3.</w:t>
            </w:r>
            <w:r>
              <w:rPr>
                <w:sz w:val="24"/>
              </w:rPr>
              <w:t>Masa ciała: ………………</w:t>
            </w:r>
          </w:p>
          <w:p>
            <w:pPr>
              <w:jc w:val="left"/>
            </w:pPr>
            <w:r>
              <w:t>4.</w:t>
            </w:r>
            <w:r>
              <w:rPr>
                <w:sz w:val="24"/>
              </w:rPr>
              <w:t xml:space="preserve">Badanie przedmiotowe (można wprowadzić opis badania lub dołączyć skan opisu przeprowadzonych badań): </w:t>
            </w:r>
          </w:p>
          <w:p>
            <w:pPr>
              <w:jc w:val="left"/>
            </w:pPr>
            <w:r>
              <w:rPr>
                <w:sz w:val="24"/>
              </w:rPr>
              <w:t>.....................................................................................................................................................</w:t>
            </w:r>
          </w:p>
          <w:p>
            <w:pPr>
              <w:jc w:val="left"/>
            </w:pPr>
            <w:r>
              <w:rPr>
                <w:sz w:val="24"/>
              </w:rPr>
              <w:t>.....................................................................................................................................................</w:t>
            </w:r>
          </w:p>
          <w:p>
            <w:pPr>
              <w:jc w:val="left"/>
            </w:pPr>
            <w:r>
              <w:rPr>
                <w:sz w:val="24"/>
              </w:rPr>
              <w:t>.....................................................................................................................................................</w:t>
            </w:r>
          </w:p>
          <w:p>
            <w:pPr>
              <w:jc w:val="left"/>
            </w:pPr>
            <w:r>
              <w:rPr>
                <w:sz w:val="24"/>
              </w:rPr>
              <w:t>.....................................................................................................................................................</w:t>
            </w:r>
          </w:p>
          <w:p>
            <w:pPr>
              <w:jc w:val="left"/>
            </w:pPr>
            <w:r>
              <w:rPr>
                <w:sz w:val="24"/>
              </w:rPr>
              <w:t>.....................................................................................................................................................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Kryteria kwalifikacji do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potwierdzenie choroby PH1 badaniem molekularnym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przewlekła choroba nerek w stadium I-III (eGFR&gt;30 ml/min/1,73m2)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średnie dobowe wydalanie szczawianów z moczem ≥0,70 mmol /1,73 m2/24h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brak efektywności terapii witaminą B6 (pirydoksyną) rozumianej jako redukcja dobowego wydalania szczawianów z moczem ≥ 30% w okresie co najmniej 3- miesięcznym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Badania </w:t>
            </w:r>
            <w:r>
              <w:t>(można wprowadzić wyniki badań lub dołączyć skan opisu przeprowadzonych badań):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Parametr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Wynik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DNA dla określenia mutacji genu AGXT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Badania biochemiczne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kreatynina z oceną eGFR 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mocznik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kwas moczowy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białko całkowite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albumina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AST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ALT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bilirubina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sód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potas 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wapń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fosforany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chlorki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Układ krzepnięcia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czas protrombinowy (PT)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czas częściowej tromboplastyny po aktywacji (APTT)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międzynarodowy współczynnik znormalizowany (INR)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Gazometria krwi żylnej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pH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HCO</w:t>
            </w:r>
            <w:r>
              <w:rPr>
                <w:vertAlign w:val="subscript"/>
              </w:rPr>
              <w:t>3</w:t>
            </w:r>
            <w:r>
              <w:t>¯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Morfologia krwi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krwinki białe (WBC)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erytrocyty (RBC)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hemoglobina (HGB)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hematokryt (HCT)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trombocyty (PLT)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ogólne moczu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wydalanie szczawianów z moczem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w kierunku HIV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w kierunku HBV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w kierunku HCV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USG układu moczowego</w:t>
            </w:r>
          </w:p>
        </w:tc>
        <w:tc>
          <w:tcPr>
            <w:tcW w:w="4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Przeciwskazania do włączenia do programu: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Przeciwwskazanie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</w:t>
            </w: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eGFR &lt; 30 ml/min/1,73m2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klinicznie istotne nieprawidłowe wyniki badań laboratoryjnych (ALT i AST &gt; 2xULN; bilirubina całkowita &gt;1,5xULN; INR &gt; 1,5ULN)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zakażenie wirusem HIV lub WZW B lub WZW C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przeszczepienie nerki lub wątroby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nietolerancja wstrzyknięć podskórnych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Ciąża, karmienie piersią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odmowa stosowania antykoncepcji przez kobiety w wieku rozrodczym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historia nadużywania alkoholu w ciągu ostatnich 12 miesięcy lub niemożność lub niechęć do ograniczenia spożycia alkoholu w trakcie leczenia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both"/>
            </w:pPr>
            <w:r>
              <w:t>Data: …………………………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both"/>
            </w:pPr>
            <w:r>
              <w:t>……………..………………………………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</w:rPr>
              <w:t>nadruk lub pieczątka zawierające imię i nazwisko lekarza, numer prawa wykonywania zawodu oraz jego podpis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 dnia……………………..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Decyzja dotycząca kwalifikacji do leczenia w programie lekowym Leczenie chorych na pierwotną hiperoksalurię typu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Przewodniczący Zespołu Koordynacyjnego ds. leczenia chorych na pierwotną hiperoksalurię typu 1:</w:t>
            </w:r>
          </w:p>
          <w:p>
            <w:pPr>
              <w:jc w:val="left"/>
            </w:pPr>
            <w:r>
              <w:t>Pan/Pani: 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Dotyczy pacjenta:</w:t>
            </w:r>
          </w:p>
          <w:p>
            <w:pPr>
              <w:jc w:val="left"/>
            </w:pPr>
            <w:r>
              <w:t>Imię i nazwisko: ……………………………………………PESEL: ………………………….</w:t>
            </w:r>
          </w:p>
          <w:p/>
          <w:p>
            <w:pPr>
              <w:jc w:val="left"/>
            </w:pPr>
            <w:r>
              <w:t>Świadczeniodawca wnioskujący: ………………………………………………………………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Decyzja: Pozytywna/Negatywna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t>Data decyzji:……………………..……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t>……...………………………………….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Administrator danych osobowych, przetwarzający dane niezbędne przy realizacji programu lekowego zobowiązany jest do stosowania przepisów Rozporządzenia Parlamentu Europejskiego i Rady (UE) 2016/679 z dnia 27 kwietnia 2016 r. w sprawie ochrony osób fizycznych w związku z przetwarzaniem danych osobowych i w sprawie swobodnego przepływu takich danych oraz uchylenia dyrektywy 95/46/WE (Ogólne rozporządzenie o ochronie danych - RODO).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2.1 ZAŁĄCZNIK DO WNIOSKU O </w:t>
            </w:r>
            <w:r>
              <w:rPr>
                <w:b w:val="1"/>
                <w:sz w:val="24"/>
              </w:rPr>
              <w:t>ZAKWALIFIKOWANIE PACJENTA DO LECZENIA W PROGRAMIE LECZENIE CHORYCH NA PIERWOTNĄ HIPEROKSALURIĘ TYPU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Wyrażam zgodę na przetwarzanie moich danych osobowych w celach wynikających z art. 188 oraz art. 188c ustawy o świadczeniach opieki zdrowotnej finansowanych ze środków publicznych.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Zostałam(em) poinformowana(y) o istocie choroby, możliwości wystąpienia objawów niepożądanych i powikłań zastosowanej terapii oraz o możliwości zaprzestania terapii.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Mając powyższe na uwadze, wyrażam zgodę na leczenie lumazyranem oraz zobowiązuję się do przyjmowania tego leku zgodnie z zaleceniami lekarskimi, oraz stawienia się na badania kontrolne w wyznaczonych terminach.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 xml:space="preserve">Data ................................... 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center"/>
            </w:pPr>
            <w:r>
              <w:rPr>
                <w:i w:val="1"/>
                <w:sz w:val="18"/>
              </w:rPr>
              <w:t>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left"/>
            </w:pPr>
            <w:r>
              <w:rPr>
                <w:sz w:val="20"/>
              </w:rPr>
              <w:t>Data ...................................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 xml:space="preserve">Podpis lekarza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Administrator danych osobowych, przetwarzający dane niezbędne przy realizacji programu lekowego zobowiązany jest do stosowania przepisów Rozporządzenia Parlamentu Europejskiego i Rady (UE) 2016/679 z dnia 27 kwietnia 2016 r. w sprawie ochrony osób fizycznych w związku z przetwarzaniem danych osobowych i w sprawie swobodnego przepływu takich danych oraz uchylenia dyrektywy 95/46/WE (Ogólne rozporządzenie o ochronie danych — RODO).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2022-04-27T15:25:12Z</dcterms:created>
  <cp:lastModifiedBy>Mysińska Monika</cp:lastModifiedBy>
  <dcterms:modified xsi:type="dcterms:W3CDTF">2022-06-01T08:24:34Z</dcterms:modified>
  <cp:revision>180</cp:revision>
  <dc:subject>zmieniające zarządzenie w sprawie określenia warunków zawierania i realizacji umów w rodzaju leczenie szpitalne w zakresie programy lekowe</dc:subject>
  <dc:title>Zarządzenie</dc:title>
</cp:coreProperties>
</file>