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45" w:rsidRDefault="00672AE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31 do zarządzenia Nr 69/2023/DGL</w:t>
      </w:r>
      <w:r>
        <w:br/>
        <w:t>Prezesa Narodowego Funduszu Zdrowia</w:t>
      </w:r>
      <w:r>
        <w:br/>
        <w:t>z dnia 21 kwietnia 2023 r.</w:t>
      </w:r>
    </w:p>
    <w:p w:rsidR="00731045" w:rsidRDefault="00672AEB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w programie lekowym Leczenie pacjentów ze spektrum zapalenia</w:t>
      </w:r>
      <w:r>
        <w:rPr>
          <w:b/>
        </w:rPr>
        <w:t xml:space="preserve"> nerwów wzrokowych i rdzenia kręgowego (NMOSD)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731045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73104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 w:rsidR="0073104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 xml:space="preserve">zakres </w:t>
            </w:r>
            <w:r>
              <w:rPr>
                <w:sz w:val="20"/>
              </w:rPr>
              <w:t>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 w:rsidR="00731045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G36</w:t>
            </w:r>
            <w:r>
              <w:rPr>
                <w:sz w:val="20"/>
              </w:rPr>
              <w:t>.0 – Zapalenie rdzenia kręgowego i nerwów wzrokowych [zespół Devica]</w:t>
            </w:r>
          </w:p>
        </w:tc>
      </w:tr>
      <w:tr w:rsidR="0073104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73104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 xml:space="preserve">Zespół Koordynacyjny ds. Leczenia Pacjentów ze </w:t>
            </w:r>
            <w:r>
              <w:rPr>
                <w:sz w:val="20"/>
              </w:rPr>
              <w:t>Spektrum Zapalenia Nerwów Wzrokowych i Rdzenia Kręgowego</w:t>
            </w:r>
          </w:p>
        </w:tc>
      </w:tr>
      <w:tr w:rsidR="0073104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731045" w:rsidRDefault="00672AEB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731045" w:rsidRDefault="00672AEB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731045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 xml:space="preserve">kwalifikacje lekarzy specjalistów – członków zespołu </w:t>
            </w:r>
            <w:r>
              <w:rPr>
                <w:sz w:val="20"/>
              </w:rPr>
              <w:t>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lekarze specjaliści w dziedzinie neurologii oraz neurologii dziecięcej</w:t>
            </w:r>
          </w:p>
        </w:tc>
      </w:tr>
      <w:tr w:rsidR="00731045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t xml:space="preserve">1) </w:t>
            </w:r>
            <w:r>
              <w:rPr>
                <w:sz w:val="20"/>
              </w:rPr>
              <w:t>kryteria kwalifikacji zostały określone w opisie programu lekowego;</w:t>
            </w:r>
          </w:p>
          <w:p w:rsidR="00731045" w:rsidRDefault="00672AEB"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 xml:space="preserve">kwalifikacja lub </w:t>
            </w:r>
            <w:r>
              <w:rPr>
                <w:sz w:val="20"/>
              </w:rPr>
              <w:t>weryfikacja skuteczności leczenia dokonywana jest w oparciu o dokumenty, których wzór został określony w pkt 2.</w:t>
            </w:r>
          </w:p>
        </w:tc>
      </w:tr>
      <w:tr w:rsidR="00731045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45" w:rsidRDefault="00672AEB">
            <w:pPr>
              <w:jc w:val="left"/>
            </w:pPr>
            <w:r>
              <w:rPr>
                <w:sz w:val="20"/>
              </w:rPr>
              <w:t>89.00 – porada lekarska, konsulta</w:t>
            </w:r>
            <w:r>
              <w:rPr>
                <w:sz w:val="20"/>
              </w:rPr>
              <w:t>cja, asysta</w:t>
            </w:r>
          </w:p>
        </w:tc>
      </w:tr>
    </w:tbl>
    <w:p w:rsidR="00731045" w:rsidRDefault="00672AEB">
      <w:r>
        <w:br w:type="page"/>
      </w: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731045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left"/>
            </w:pPr>
            <w:r>
              <w:rPr>
                <w:b/>
              </w:rPr>
              <w:t>2. Wzory dokumentów niezbędnych dla kwalifikacji pacjenta do leczenia w programie lekowym Leczenie pacjentów ze spektrum zapalenia nerwów wzrokowych i rdzenia kręgowego (NMOSD)</w:t>
            </w:r>
          </w:p>
        </w:tc>
      </w:tr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</w:tr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</w:tr>
    </w:tbl>
    <w:p w:rsidR="00731045" w:rsidRDefault="00672AEB">
      <w:pPr>
        <w:spacing w:before="120" w:after="120"/>
        <w:jc w:val="center"/>
        <w:rPr>
          <w:b/>
        </w:rPr>
      </w:pPr>
      <w:r>
        <w:rPr>
          <w:b/>
        </w:rPr>
        <w:t xml:space="preserve">Wniosek o zakwalifikowanie pacjenta do leczenia </w:t>
      </w:r>
      <w:r>
        <w:rPr>
          <w:b/>
        </w:rPr>
        <w:t>w programie lekowym Leczenie pacjentów ze spektrum zapalenia nerwów wzrokowych i rdzenia kręgowego (NMOSD)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</w:tr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ab/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731045">
        <w:trPr>
          <w:gridAfter w:val="1"/>
          <w:wAfter w:w="735" w:type="dxa"/>
          <w:trHeight w:val="540"/>
        </w:trPr>
        <w:tc>
          <w:tcPr>
            <w:tcW w:w="49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  <w:tr w:rsidR="00731045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>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 badania MRI potwierdzający rozpoznanie NMOSD: ............................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Wynik badania potwierdzający obecność przeciwciał anty-AQP4: </w:t>
      </w:r>
      <w:r>
        <w:rPr>
          <w:color w:val="000000"/>
          <w:u w:color="000000"/>
        </w:rPr>
        <w:t>............................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stanu neurologicznego z określeniem EDSS: 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1. </w:t>
            </w:r>
            <w:r>
              <w:rPr>
                <w:sz w:val="24"/>
              </w:rPr>
              <w:t xml:space="preserve">rozpoznanie chorób ze spektrum zapalenia nerwów wzrokowych oraz rdzenia kręgowego (NMOSD) - oparte na </w:t>
            </w:r>
            <w:r>
              <w:rPr>
                <w:sz w:val="24"/>
              </w:rPr>
              <w:t>aktualnych kryteriach diagnostycznych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>potwierdzenie obecności przeciwciał anty-AQP4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>EDSS od 0 do 6,5 włącznie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brak przeciwwskazań do stosowania satralizumabu określonych w aktualnej Charakterystyce Produktu Leczniczego (ChPL)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brak w</w:t>
            </w:r>
            <w:r>
              <w:rPr>
                <w:sz w:val="24"/>
              </w:rPr>
              <w:t>cześniejszego leczenia inną terapią z zastosowaniem leków z grupy inhibitorów interleukiny 6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</w:trPr>
        <w:tc>
          <w:tcPr>
            <w:tcW w:w="8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291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Przeciwskazania do włączenia do programu: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t xml:space="preserve">NIE </w:t>
            </w:r>
          </w:p>
        </w:tc>
      </w:tr>
      <w:tr w:rsidR="00731045">
        <w:trPr>
          <w:gridAfter w:val="1"/>
          <w:wAfter w:w="1245" w:type="dxa"/>
          <w:trHeight w:val="514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nadwrażliwość na satralizumab lub na którąkolwiek substancję pomocniczą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243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trwające aktualnie czynne </w:t>
            </w:r>
            <w:r>
              <w:t>zakażenie do momentu ustąpienia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261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aktywny nowotwór złośliwy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544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wcześniejsze leczenie przeciwciałem anty-CD20, ekulizumabem, przeciwciałem monoklonalnym anty-BLyS, lekiem zapobiegającym nawrotom stwardnienia rozsianego w ciągu 6 miesięcy przed kwalifikacją</w:t>
            </w:r>
            <w:r>
              <w:t xml:space="preserve"> do programu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582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wcześniejsze leczenie anty-CD4, kladrybiną, cyklofosfamidem lub mitoksantronem, przeszczepienie komórek macierzystych szpiku w ciągu 2 lat przed przystąpieniem do programu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582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 xml:space="preserve">inne stany kliniczne, które w opinii lekarza, mogą stanowić </w:t>
            </w:r>
            <w:r>
              <w:t>przeciwwskazania do terapii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rPr>
          <w:gridAfter w:val="1"/>
          <w:wAfter w:w="1245" w:type="dxa"/>
          <w:trHeight w:val="582"/>
        </w:trPr>
        <w:tc>
          <w:tcPr>
            <w:tcW w:w="7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inne przeciwwskazania wymienione w aktualnej ChPL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731045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731045"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Decyzja dotycząca kwalifikacji do leczenia w programie lekowym Leczenie pacjentów ze spektrum zapalenia nerwów wzrokowych i rdzenia kręgowego (NMOSD)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Pacjentów ze Spektrum Zapalenia Nerwów Wzrokow</w:t>
      </w:r>
      <w:r>
        <w:rPr>
          <w:color w:val="000000"/>
          <w:u w:color="000000"/>
        </w:rPr>
        <w:t>ych i Rdzenia Kręgowego: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Enspryng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Zespołu Koordynacyjnego ds. Leczenia Pacjentów ze Spektrum </w:t>
            </w:r>
            <w:r>
              <w:rPr>
                <w:sz w:val="18"/>
              </w:rPr>
              <w:t>Zapalenia Nerwów Wzrokowych i Rdzenia Kręgowego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Administrator danych osobowych, przetwarzający dane niezbędne przy realizacji programu lekowego zobowiązany jest do stosowania przepisów Rozporządzenia Parlamentu Europejskiego i Rady (UE) 2016/679 z</w:t>
      </w:r>
      <w:r>
        <w:rPr>
          <w:color w:val="000000"/>
          <w:u w:color="000000"/>
        </w:rPr>
        <w:t>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2.1 Z</w:t>
      </w:r>
      <w:r>
        <w:rPr>
          <w:b/>
          <w:color w:val="000000"/>
          <w:u w:color="000000"/>
        </w:rPr>
        <w:t xml:space="preserve">ałącznik do </w:t>
      </w:r>
      <w:r>
        <w:rPr>
          <w:b/>
          <w:color w:val="000000"/>
          <w:u w:color="000000"/>
        </w:rPr>
        <w:t>wniosku o zakwalifikowanie pacjenta do leczenia w programie lekowym Leczenie pacjentów ze spektrum zapalenia nerwów wzrokowych i rdzenia kręgowego (NMOSD)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br/>
        <w:t>z art. 188 oraz art. </w:t>
      </w:r>
      <w:r>
        <w:rPr>
          <w:color w:val="000000"/>
          <w:u w:color="000000"/>
        </w:rPr>
        <w:t>188c ustawy o świadczeniach opieki zdrowotnej finansowanych ze środków publicznych.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możliwości zaprzestania terapii.</w:t>
      </w:r>
    </w:p>
    <w:p w:rsidR="00731045" w:rsidRDefault="00672AE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Mając </w:t>
      </w:r>
      <w:r>
        <w:rPr>
          <w:color w:val="000000"/>
          <w:u w:color="000000"/>
        </w:rPr>
        <w:t>powyższe na uwadze, wyrażam zgodę na leczenie satralizumabem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</w:t>
            </w:r>
            <w:r>
              <w:rPr>
                <w:sz w:val="20"/>
              </w:rPr>
              <w:t>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045" w:rsidRDefault="00672AE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  <w:tr w:rsidR="0073104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31045" w:rsidRDefault="0073104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31045" w:rsidRDefault="00672AE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</w:t>
      </w:r>
      <w:r>
        <w:rPr>
          <w:color w:val="000000"/>
          <w:u w:color="000000"/>
        </w:rPr>
        <w:t>Parlamentu Europejskiego i Rady (UE) 2016/679 z dnia 27 kwietnia 2016 r. w sprawie ochrony osób fizycznych w związku z przetwarzaniem danych osobowych i w sprawie swobodnego przepływu takich danych oraz uchylenia dyrektywy 95/46/WE (Ogólne rozporządzenie o</w:t>
      </w:r>
      <w:r>
        <w:rPr>
          <w:color w:val="000000"/>
          <w:u w:color="000000"/>
        </w:rPr>
        <w:t> ochronie danych — RODO).</w:t>
      </w:r>
    </w:p>
    <w:sectPr w:rsidR="0073104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45"/>
    <w:rsid w:val="00672AEB"/>
    <w:rsid w:val="0073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F73480D-D320-44E2-AE50-67D03CEC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1040</Words>
  <Characters>6245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2023-04-24T06:51:00Z</dcterms:created>
  <dcterms:modified xsi:type="dcterms:W3CDTF">2023-04-24T06:51:00Z</dcterms:modified>
  <cp:category>Akt prawny</cp:category>
</cp:coreProperties>
</file>