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6F" w:rsidRDefault="00DF491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69/2023/DGL</w:t>
      </w:r>
      <w:r>
        <w:br/>
        <w:t>Prezesa Narodowego Funduszu Zdrowia</w:t>
      </w:r>
      <w:r>
        <w:br/>
        <w:t>z dnia 21 kwietnia 2023 r.</w:t>
      </w:r>
    </w:p>
    <w:p w:rsidR="002E5F6F" w:rsidRDefault="00DF4912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biologicznego w chorobach reumatycznych oraz weryfikację jego</w:t>
      </w:r>
      <w:r>
        <w:rPr>
          <w:b/>
        </w:rPr>
        <w:t xml:space="preserve">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86"/>
        <w:gridCol w:w="6286"/>
      </w:tblGrid>
      <w:tr w:rsidR="002E5F6F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2E5F6F">
        <w:trPr>
          <w:trHeight w:val="45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 w:rsidR="002E5F6F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</w:t>
            </w:r>
            <w:r>
              <w:rPr>
                <w:sz w:val="20"/>
              </w:rPr>
              <w:t>przez zespół koordynacyjny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2) Leczenie chorych z aktywną postacią łuszczycowego zapalenia stawów (ŁZS);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3) Leczenie chorych z aktywną p</w:t>
            </w:r>
            <w:r>
              <w:rPr>
                <w:sz w:val="20"/>
              </w:rPr>
              <w:t>ostacią zesztywniającego zapalenia stawów kręgosłupa (ZZSK);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5) Leczenie nintedanibem choroby śródmiąższowej płuc związanej z twardzi</w:t>
            </w:r>
            <w:r>
              <w:rPr>
                <w:sz w:val="20"/>
              </w:rPr>
              <w:t>ną układową.</w:t>
            </w:r>
          </w:p>
        </w:tc>
      </w:tr>
      <w:tr w:rsidR="002E5F6F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1) M 05 reumatoidalne zapalenie stawów (RZS);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 xml:space="preserve">4) M 45 </w:t>
            </w:r>
            <w:r>
              <w:rPr>
                <w:sz w:val="20"/>
              </w:rPr>
              <w:t>zesztywniające zapalenie stawów kręgosłupa;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9) M 46.8 Inne określone zapalne choroby kręgosłu</w:t>
            </w:r>
            <w:r>
              <w:rPr>
                <w:sz w:val="20"/>
              </w:rPr>
              <w:t>pa;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11) J 99.1 zaburzenia układu oddechowego w innych układowych chorobach tkanki łącznej.</w:t>
            </w:r>
          </w:p>
        </w:tc>
      </w:tr>
      <w:tr w:rsidR="002E5F6F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2E5F6F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 w:rsidR="002E5F6F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ul. Spartańska 1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 w:rsidR="002E5F6F">
        <w:trPr>
          <w:trHeight w:val="3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 xml:space="preserve">kwalifikacje </w:t>
            </w:r>
            <w:r>
              <w:rPr>
                <w:sz w:val="20"/>
              </w:rPr>
              <w:t>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lekarze specjaliści w dziedzinie reumatologii lub dermatologii i wenerologii lub chorób płuc</w:t>
            </w:r>
          </w:p>
        </w:tc>
      </w:tr>
      <w:tr w:rsidR="002E5F6F">
        <w:trPr>
          <w:trHeight w:val="12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1) kryteria kwalifikacji zostały okreś</w:t>
            </w:r>
            <w:r>
              <w:rPr>
                <w:sz w:val="20"/>
              </w:rPr>
              <w:t>lone w opisach programów lekowych wymienionych w pkt 1.2 z zastrzeżeniem możliwości uzyskania indywidualnej zgody Zespołu w określonych przypadkach;</w:t>
            </w:r>
          </w:p>
          <w:p w:rsidR="002E5F6F" w:rsidRDefault="00DF4912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</w:t>
            </w:r>
            <w:r>
              <w:rPr>
                <w:sz w:val="20"/>
              </w:rPr>
              <w:t>średnictwem elektronicznego systemu monitorowania programów lekowych</w:t>
            </w:r>
          </w:p>
        </w:tc>
      </w:tr>
      <w:tr w:rsidR="002E5F6F">
        <w:trPr>
          <w:trHeight w:val="6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F" w:rsidRDefault="00DF4912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2E5F6F" w:rsidRDefault="002E5F6F"/>
    <w:sectPr w:rsidR="002E5F6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6F"/>
    <w:rsid w:val="002E5F6F"/>
    <w:rsid w:val="00D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7DBEB9-5D6E-488D-B55D-48F3B4A4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2373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2023-04-24T06:17:00Z</dcterms:created>
  <dcterms:modified xsi:type="dcterms:W3CDTF">2023-04-24T06:17:00Z</dcterms:modified>
  <cp:category>Akt prawny</cp:category>
</cp:coreProperties>
</file>