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78D" w:rsidRDefault="00210F6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25 do zarządzenia Nr 69/2023/DGL</w:t>
      </w:r>
      <w:r>
        <w:br/>
        <w:t>Prezesa Narodowego Funduszu Zdrowia</w:t>
      </w:r>
      <w:r>
        <w:br/>
        <w:t>z dnia 21 kwietnia 2023 r.</w:t>
      </w:r>
    </w:p>
    <w:p w:rsidR="00BC278D" w:rsidRDefault="00210F66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chorych na zaawansowanego raka kolczystokomórkowego skóry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BC278D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BC278D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kwalifikacja do leczenia chorych na zaawansowanego raka kolczystokomórkowego skóry cemiplimabem</w:t>
            </w:r>
          </w:p>
        </w:tc>
      </w:tr>
      <w:tr w:rsidR="00BC278D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zespół </w:t>
            </w:r>
            <w:r>
              <w:rPr>
                <w:sz w:val="20"/>
              </w:rPr>
              <w:t>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Leczenie chorych na zaawansowanego raka kolczystokomórkowego skóry cemiplimabem</w:t>
            </w:r>
            <w:r>
              <w:rPr>
                <w:sz w:val="20"/>
              </w:rPr>
              <w:t xml:space="preserve"> </w:t>
            </w:r>
          </w:p>
        </w:tc>
      </w:tr>
      <w:tr w:rsidR="00BC278D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Rak kolczystokomórkowy skóry - C44.1, C44.2, C44.3, C44.4, C44.5, C44.6, C44.7, C44.8, C44.9</w:t>
            </w:r>
          </w:p>
        </w:tc>
      </w:tr>
      <w:tr w:rsidR="00BC278D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BC278D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Zespół Koordynacyjny ds. Leczenia Chorych na Raka Kolczystokomórkowego Skóry</w:t>
            </w:r>
          </w:p>
        </w:tc>
      </w:tr>
      <w:tr w:rsidR="00BC278D">
        <w:trPr>
          <w:trHeight w:val="103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 xml:space="preserve">Narodowy Instytut Onkologii </w:t>
            </w:r>
            <w:r>
              <w:rPr>
                <w:sz w:val="20"/>
              </w:rPr>
              <w:t>im. Marii Skłodowskiej – Curie Państwowy Instytut Badawczy</w:t>
            </w:r>
          </w:p>
          <w:p w:rsidR="00BC278D" w:rsidRDefault="00210F66">
            <w:pPr>
              <w:jc w:val="left"/>
            </w:pPr>
            <w:r>
              <w:rPr>
                <w:sz w:val="20"/>
              </w:rPr>
              <w:t>02-781 Warszawa</w:t>
            </w:r>
          </w:p>
          <w:p w:rsidR="00BC278D" w:rsidRDefault="00210F66">
            <w:pPr>
              <w:jc w:val="left"/>
            </w:pPr>
            <w:r>
              <w:rPr>
                <w:sz w:val="20"/>
              </w:rPr>
              <w:t>ul. Roentgena 5</w:t>
            </w:r>
          </w:p>
        </w:tc>
      </w:tr>
      <w:tr w:rsidR="00BC278D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lekarze specjaliści w dziedzinie dermatologii i wenerologii lub onkologii klinicznej lub ch</w:t>
            </w:r>
            <w:r>
              <w:rPr>
                <w:sz w:val="20"/>
              </w:rPr>
              <w:t>emioterapii nowotworów</w:t>
            </w:r>
          </w:p>
        </w:tc>
      </w:tr>
      <w:tr w:rsidR="00BC278D">
        <w:trPr>
          <w:trHeight w:val="11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BC278D" w:rsidRDefault="00210F66">
            <w:pPr>
              <w:jc w:val="left"/>
            </w:pPr>
            <w:r>
              <w:rPr>
                <w:sz w:val="20"/>
              </w:rPr>
              <w:t xml:space="preserve">2) kwalifikacja do leczenia dokonywana jest w oparciu o wnioski przedłożone za pośrednictwem </w:t>
            </w:r>
            <w:r>
              <w:rPr>
                <w:sz w:val="20"/>
              </w:rPr>
              <w:t>elektronicznego systemu monitorowania programów lekowych.</w:t>
            </w:r>
          </w:p>
        </w:tc>
      </w:tr>
      <w:tr w:rsidR="00BC278D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8D" w:rsidRDefault="00210F66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BC278D" w:rsidRDefault="00BC278D"/>
    <w:sectPr w:rsidR="00BC278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8D"/>
    <w:rsid w:val="00210F66"/>
    <w:rsid w:val="00BC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8EDAF84-7C5E-4E84-B093-6C3B78BA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2023-04-24T06:46:00Z</dcterms:created>
  <dcterms:modified xsi:type="dcterms:W3CDTF">2023-04-24T06:46:00Z</dcterms:modified>
  <cp:category>Akt prawny</cp:category>
</cp:coreProperties>
</file>