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AE92B7A" Type="http://schemas.openxmlformats.org/officeDocument/2006/relationships/officeDocument" Target="/word/document.xml" /><Relationship Id="coreRAE92B7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30/2023/DSOZ</w:t>
        <w:br w:type="textWrapping"/>
        <w:t>Prezesa Narodowego Funduszu Zdrowia</w:t>
        <w:br w:type="textWrapping"/>
        <w:t>z dnia 9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w rodzaju świadczenia zdrowotne kontraktowane odrębnie- Kompleksowa opieka nad rodzinami z wysokim, dziedzicznie uwarunkowanym ryzykiem zachorowania na nowotwory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4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 </w:t>
            </w:r>
          </w:p>
        </w:tc>
        <w:tc>
          <w:tcPr>
            <w:tcW w:w="13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 </w:t>
            </w:r>
          </w:p>
        </w:tc>
        <w:tc>
          <w:tcPr>
            <w:tcW w:w="148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</w:t>
            </w:r>
          </w:p>
        </w:tc>
        <w:tc>
          <w:tcPr>
            <w:tcW w:w="14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produktu</w:t>
            </w:r>
          </w:p>
        </w:tc>
        <w:tc>
          <w:tcPr>
            <w:tcW w:w="19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produktu </w:t>
            </w:r>
          </w:p>
        </w:tc>
        <w:tc>
          <w:tcPr>
            <w:tcW w:w="124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</w:t>
            </w:r>
          </w:p>
        </w:tc>
        <w:tc>
          <w:tcPr>
            <w:tcW w:w="14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Wartość punktowa produktu rozliczeniowego</w:t>
            </w:r>
          </w:p>
        </w:tc>
        <w:tc>
          <w:tcPr>
            <w:tcW w:w="38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warunki wykonania</w:t>
            </w:r>
          </w:p>
        </w:tc>
        <w:tc>
          <w:tcPr>
            <w:tcW w:w="175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70"/>
        </w:trPr>
        <w:tc>
          <w:tcPr>
            <w:tcW w:w="4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warunkach domowych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trybie ambulatoryjnym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trybie hospitalizacji</w:t>
            </w:r>
          </w:p>
        </w:tc>
        <w:tc>
          <w:tcPr>
            <w:tcW w:w="17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10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11.1212.010.02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raka piersi lub raka jajnika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5.10.00.0000188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 pierwszorazowe 1-go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rozliczanie zgodnie z charakterystyką świadczenia oznaczonego kodem 5.30.00.0000040 określoną w  zarządzeniu w rodzaju ambulatoryjna opieka specjalistyczna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5.10.00.0000170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kontrolna u osób z mutacją w genach BRCA1, BRCA2 lub PALB2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- rozliczana nie częściej niż raz na 6 miesięcy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5.10.00.0000171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kontrolna - pozostałe osoby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rozliczana nie częściej niż raz na 12 miesięcy u osób z mutacjami innymi niż w genach BRCA1, BRCA2 lub PALB2 oraz zgodnie z zasadami określonymi w poz. 32 załącznika nr 5 do rozporządzenia  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5.10.00.0000205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 specjalistyczne 1-go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5.30.00.0000011 określoną w obowiązującym zarządzeniu w rodzaju ambulatoryjna opieka specjalistyczna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5.10.00.0000189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 specjalistyczne 2-go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- rozliczanie zgodnie z charakterystyką świadczenia oznaczonego kodem 5.30.00.0000012 określoną w obowiązującym zarządzeniu w rodzaju ambulatoryjna opieka specjalistyczna oraz zgodnie z zasadami określonymi w poz. 32 załącznika nr 5 do rozporządzenia,</w:t>
              <w:br w:type="textWrapping"/>
              <w:t>- możliwość sumowania świadczenia ze świadczeniem 5.10.00.0000170 lub 5.10.00.0000171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3-go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rozliczanie zgodnie z charakterystyką świadczenia oznaczonego kodem 5.30.00.0000013 określoną w obowiązującym zarządzeniu w rodzaju ambulatoryjna opieka specjalistyczna oraz zgodnie z zasadami określonymi w poz. 32 załącznika nr 5 do rozporządzenia,</w:t>
              <w:br w:type="textWrapping"/>
              <w:t>- możliwość sumowania świadczenia ze świadczeniem 5.10.00.0000170 lub 5.10.00.0000171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4-go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- rozliczanie zgodnie z charakterystyką świadczenia oznaczonego kodem 5.30.00.0000014 określoną w obowiązującym zarządzeniu w rodzaju ambulatoryjna opieka specjalistyczna oraz zgodnie z zasadami określonymi w poz. 32 załącznika nr 5 do rozporządzenia, </w:t>
              <w:br w:type="textWrapping"/>
              <w:t>- możliwość sumowania świadczenia ze świadczeniem 5.10.00.0000170 lub 5.10.00.0000171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5.10.00.0000192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piersi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1036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wykazania z innymi produktami albo odrębnie jeżeli jest jedynym celem porady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5.10.00.0000193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zabiegowe - grupa 88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dla świadczenia oznaczonego kodem 5.31.00.0000088 określonymi w obowiązującym zarządzeniu w rodzaju ambulatoryjna opieka specjalistyczna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5.10.00.0000194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zabiegowe - grupa 105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dla świadczenia oznaczonego kodem 5.31.00.0000105 określonymi w obowiązującym zarządzeniu w rodzaju ambulatoryjna opieka specjalistyczna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zabiegowe - grupa 110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dla świadczenia oznaczonego kodem 5.31.00.0000110 określonymi w obowiązującym zarządzeniu w rodzaju ambulatoryjna opieka specjalistyczna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5.10.00.0000196</w:t>
            </w:r>
          </w:p>
        </w:tc>
        <w:tc>
          <w:tcPr>
            <w:tcW w:w="19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zabiegowe - grupa 22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3671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- rozliczanie zgodnie z zasadami dla świadczenia oznaczonego kodem 5.31.00.0000022 określonymi w obowiązującym zarządzeniu w rodzaju ambulatoryjna opieka specjalistyczna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- do wykazania z innymi produktami, albo odrębnie jeżeli jest jedynym celem porady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5.10.00.0000172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BRCA1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5.10.00.0000173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CHEK2 i PALB2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5.10.00.0000174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BRCA1, BRCA2, PALB2, CHEK2 metodą NGS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rodzinnej mutacji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5.10.00.0000176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immunohistochemiczne w przypadku diagnozy raka piersi w biopsji gruboigłowej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3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11.1212.020.02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raka jelita grubego lub raka błony śluzowej trzonu macicy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5.10.00.0000188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pierwszorazowe 1-go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5.30.00.0000040 określoną w obowiązującym zarządzeniu w rodzaju ambulatoryjna opieka specjalistyczna 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kontrolna - pozostałe osoby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rozliczana nie częściej niż raz na 12 miesięcy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1-go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5.30.00.0000011 określoną w obowiązującym zarządzeniu w rodzaju ambulatoryjna opieka specjalistyczna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5.10.00.0000189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2-go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5.30.00.0000012 określoną w obowiązującym zarządzeniu w rodzaju ambulatoryjna opieka specjalistyczna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3-go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5.30.00.0000013 określoną w obowiązującym zarządzeniu w rodzaju ambulatoryjna opieka specjalistyczna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5.10.00.0000197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diagnostyczna - SOK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462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5.10.00.0000198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diagnostyczna z biopsją (z badaniem hist.-pat.) - SOK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665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5.10.00.0000199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z polipektomią jednego lub więcej polipów o średnicy do 1 cm,  za pomocą pętli diatermicznej (z badaniem hist.-pat.) - SOK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1446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Gastroskopia diagnostyczna (w przypadku wskazań obejmuje test ureazowy) - SOK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Gastroskopia diagnostyczna z biopsją - uwzględnia 1 badanie hist.-pat   - SOK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318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5.10.00.0000202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Gastroskopia diagnostyczna z biopsją - uwzględnia  2 lub więcej badań hist.-pat.- SOK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405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5.10.00.0000203</w:t>
            </w:r>
          </w:p>
        </w:tc>
        <w:tc>
          <w:tcPr>
            <w:tcW w:w="19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Znieczulenie całkowite dożylne - SOK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273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 świadczenie do sumowania z procedurami: 45.231, 45.253, 45.239, 45.42 , 44.162, 44.13 w ramach produktów: 5.10.00.0000197, 5.10.00.0000198, 5.10.00.0000199, 5.10.00.0000200, 5.10.00.0000201, 5.10.00.0000202.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 wymagane wskazanie procedury wg ICD-9: 100.10 albo 100.11 albo 100.12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5.10.00.0000204</w:t>
            </w:r>
          </w:p>
        </w:tc>
        <w:tc>
          <w:tcPr>
            <w:tcW w:w="19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Konsultacja w zakresie kwalifikacji do wykonania znieczulenia do zabiegu diagnostycznego -  SOK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- świadczenie do sumowania z procedurami: 45.231, 45.253, 45.239, 45.42 , 44.162, 44.13 w ramach produktów: 5.10.00.0000197, 5.10.00.0000198, 5.10.00.0000199, 5.10.00.0000200, 5.10.00.0000201, 5.10.00.0000202.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porada nie stanowi kwalifikacji pacjenta do znieczulenia przeprowadzanej nie później niż 24 godziny przed zabiegiem w trybie planowym, o której mowa w rozporządzeniu Ministra Zdrowia z dnia 16 grudnia 2016 r. w sprawie standardu organizacyjnego opieki zdrowotnej w dziedzinie anestezjologii i intensywnej terapii (Dz. U. 2022 r. poz. 392 z późn. zm),</w:t>
              <w:br w:type="textWrapping"/>
              <w:t>-musi się odbyć co najmniej 2 dni przed datą wykonania badania endoskopowego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rodzinnej mutacji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5.10.00.0000177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APC, MLH1, MSH2, MSH6, PMS2, STK11, SMAD4, BMPR1A, MUTYH, EPCAM, PTEN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4164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5.10.00.0000178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niestabilności mikrosatelitarnej z tkanki - badanie genetyczne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5.10.00.0000179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niestabilności mikrosatelitarnej z tkanki - badanie immunohistochemiczne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genie APC wykonywane metodami biologii molekularnej (PCR i jej modyfikacje, RFLP, sekwencjonowanie Sangera, MLPA):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genach MLH1, MSH2, MSH6, PMS2 wykonywane metodami biologii molekularnej (PCR i jej modyfikacje, RFLP, sekwencjonowanie Sangera, MLPA)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79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5.10.00.0000182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w kierunku wykrycia mutacji w genie STK11 wykonywane metodami biologii molekularnej (PCR i jej modyfikacje, RFLP, sekwencjonowanie Sangera, MLPA)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79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5.10.00.0000183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genach SMAD4 i BMPR1A wykonywane metodami biologii molekularnej (PCR i jej modyfikacje, RFLP, sekwencjonowanie Sangera, MLPA)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79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5.10.00.0000184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genie MUTYH wykonywane metodami biologii molekularnej (PCR i jej modyfikacje, RFLP, sekwencjonowanie Sangera, MLPA)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79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Wykrycie nosicielstwa mutacji w genach APC, MLH1, MSH2, MSH6, PMS2, STK11, SMAD4, BMPR1A, MUTYH, EPCAM, PTEN, wykonywanego metodami biologii molekularnej z zastosowaniem techniki sekwencjonowania następnej generacji (NGS)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3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11.1212.030.02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siatkówczaka lub chorobę von Hippel-Lindau (VHL)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5.10.00.0000188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pierwszorazowe 1-go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5.30.00.0000040 określoną w obowiązującym zarządzeniu w rodzaju ambulatoryjna opieka specjalistyczna oraz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kontrolna - pozostałe osoby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rozliczana nie częściej niż raz na 12 miesięcy oraz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1-go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5.30.00.0000011 określoną w obowiązującym zarządzeniu w rodzaju ambulatoryjna opieka specjalistyczna oraz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5.10.00.0000189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2-go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5.30.00.0000012 określoną w obowiązującym zarządzeniu w rodzaju ambulatoryjna opieka specjalistyczna oraz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5.10.00.0000206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głowy bez wzmocnienia kontrastowego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5.10.00.0000207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głowy bez i ze wzmocnieniem kontrastowym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5.10.00.0000208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jednego odcinka kręgosłupa lub kanału kręgowego bez wzmocnienia kontrastowego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5.10.00.0000209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jednej okolicy anatomicznej innej niż kręgosłup bez wzmocnienia kontrastowego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jednego odcinka kręgosłupa lub kanału kręgowego bez i ze wzmocnieniem kontrastowym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jednej okolicy anatomicznej innej niż odcinek kręgosłupa bez i ze wzmocnieniem kontrastowym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5.10.00.0000212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dwóch odcinków kręgosłupa bez wzmocnienia kontrastowego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730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5.10.00.0000213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trzech odcinków kręgosłupa bez wzmocnienia kontrastowego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1028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5.10.00.0000214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dwóch odcinków kręgosłupa bez i ze wzmocnieniem kontrastowym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1110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trzech odcinków kręgosłupa bez i ze wzmocnieniem kontrastowym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1407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5.10.00.0000216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TK: innej okolicy anatomicznej bez wzmocnienia kontrastowego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5.10.00.0000217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TK: innej okolicy anatomicznej bez i ze wzmocnieniem kontrastowym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5.10.00.0000186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RB1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1231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5.10.00.0000187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VHL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34 załącznika nr 5 do rozporządzenia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2023-02-06T13:11:49Z</dcterms:created>
  <cp:lastModifiedBy>Popiołek Tomasz</cp:lastModifiedBy>
  <dcterms:modified xsi:type="dcterms:W3CDTF">2023-02-09T11:37:15Z</dcterms:modified>
  <cp:revision>10</cp:revision>
  <dc:subject>zmieniające zarządzenie w sprawie określenia warunków zawierania i realizacji umów w rodzaju świadczenia zdrowotne kontraktowane odrębnie</dc:subject>
  <dc:title>Zarządzenie</dc:title>
</cp:coreProperties>
</file>