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8CB560" Type="http://schemas.openxmlformats.org/officeDocument/2006/relationships/officeDocument" Target="/word/document.xml" /><Relationship Id="coreR6F8CB56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30/2023/DSOZ</w:t>
        <w:br w:type="textWrapping"/>
        <w:t>Prezesa Narodowego Funduszu Zdrowia</w:t>
        <w:br w:type="textWrapping"/>
        <w:t>z dnia 9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dodatkowych do sumowania w KOC 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Kod produktu rozliczeniowego</w:t>
            </w:r>
          </w:p>
        </w:tc>
        <w:tc>
          <w:tcPr>
            <w:tcW w:w="48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Nazwa produktu rozliczeniowego</w:t>
            </w:r>
          </w:p>
        </w:tc>
        <w:tc>
          <w:tcPr>
            <w:tcW w:w="15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Wartość punktowa produktu rozliczeniowego w KOC I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produkt dedykowany</w:t>
              <w:br w:type="textWrapping"/>
              <w:t xml:space="preserve">do sumowania </w:t>
              <w:br w:type="textWrapping"/>
              <w:t>z  produktami rozliczeniowymi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5.10.99.0000127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dojelitowe 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za każdy dzień żywienia,</w:t>
              <w:br w:type="textWrapping"/>
              <w:t> - w przypadku żywienia niemowląt - produkt dotyczy niemowląt między 4 a 26 tygodniem życia</w:t>
              <w:br w:type="textWrapping"/>
              <w:t> - zgodnie z zasadami określonymi w „Standardach żywienia pozajelitowego" Polskiego Towarzystwa Żywienia Pozajelitowego i Dojelitowego i Metabolizmu lub, w przypadku dzieci, zgodnie z zasadami określonymi przez Polskie Towarzystwo Żywienia Klinicznego Dzieci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z produktami </w:t>
              <w:br w:type="textWrapping"/>
              <w:t xml:space="preserve">wymienionymi </w:t>
              <w:br w:type="textWrapping"/>
              <w:t>w 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5.10.99.0000154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dojelitowe mlekiem z banku mleka kobiecego lub odciągniętym mlekiem matki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184,95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 dojelitowego wcześniaków do ukończenia 4 tygodnia życia wieku korygowanego oraz chorych noworodków, które nie mogą być karmione piersią, do 4 tygodnia życia 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5.10.99.0000155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dojelitowe mlekiem modyfikowanym 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44,35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 dojelitowego wcześniaków do ukończenia 4 tygodnia życia wieku korygowanego oraz chorych noworodków, które nie mogą być karmione piersią, do 4 tygodnia życia 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5.10.99.0000128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Częściowe (niekompletne) żywienie pozajelitowe 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5.10.99.0000129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pozajelitowe immunomodulujące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5.10.99.0000130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Kompletne żywienie pozajelitowe                                                            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5.10.99.0000144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Przedłużona hospitalizacja matki karmiącej piersią z powodu stanu zdrowia dziecka - od 5 doby od porodu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osobodzień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5.10.99.0000145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przetoczeniami immunoglobulin 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każdy 1 gram immunoglobulin;</w:t>
              <w:br w:type="textWrapping"/>
              <w:t>- dotyczy dorosłych z wyłączeniem dorosłych leczonych immunoglobulinami w ramach programów lekowych (zgodnie z kodami ICD-10 ujętymi w nazwie programu lekowego):  Leczenie pierwotnych niedoborów odporności (PNO) u pacjentów dorosłych, Leczenie przetoczeniami immunoglobulin w chorobach neurologicznych - nie dotyczy podania immunoglobuliny w stanach nagłych lub w stanach zagrożenia życia w schorzeniach neurologicznych osobom leczonym w ramach programów lekowych poza ośrodkiem realizującym program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 odpowiednim ryczałtem KOC I</w:t>
              <w:br w:type="textWrapping"/>
              <w:t>wymienionym w 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9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5.10.99.0000146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leczniczy nie zawarty w kosztach świadczenia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1) konieczność udokumentowania zakupu fakturą/ rachunkiem;</w:t>
              <w:br w:type="textWrapping"/>
              <w:t>2) produkt  dotyczy:</w:t>
              <w:br w:type="textWrapping"/>
              <w:t>a) czynnika VIIa (Novoseven),</w:t>
              <w:br w:type="textWrapping"/>
              <w:t>b) substancji czynnej atozyban w leczeniu, przedwczesnej czynności skurczowej macicy,</w:t>
              <w:br w:type="textWrapping"/>
              <w:t>c) immunoglobuliny w profilaktyce poekzpozycyjnej zakażenia wirusem Varicella Zoster  (VZV) u ciężarnych i/lub osób pozostających w immunosupresji,</w:t>
              <w:br w:type="textWrapping"/>
              <w:t>d) surfaktantu w leczeniu  noworodków z zespołem zaburzeń oddychania (ZZO),</w:t>
              <w:br w:type="textWrapping"/>
              <w:t>e) tlenku azotu w leczeniu nadciśnienia płucnego u noworodków - można sumować wyłącznie z grupą N22KOC.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z produktami wymienionymi </w:t>
              <w:br w:type="textWrapping"/>
              <w:t>w 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5.10.99.0000147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Intensywna hemodializa 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z produktami wymienionymi w 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5.10.99.0000149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Wytworzenie stałego dostępu naczyniowego z użyciem cewnika typu Broviac, Hickman lub Groshong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1 135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 obejmuje koszt wyrobu medycznego (cewnika)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 produktami  dedykowanymi neonatologii</w:t>
              <w:br w:type="textWrapping"/>
              <w:t xml:space="preserve">wymienionymi </w:t>
              <w:br w:type="textWrapping"/>
              <w:t>w 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5.10.99.0000150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Ciągłe leczenie nerkozastępcze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2 593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24 - godzinny okres ciągłego leczenia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z produktami dedykowanymi neonatologii wymienionymi </w:t>
              <w:br w:type="textWrapping"/>
              <w:t>w 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5.10.99.0000152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ogólne lub dożylne u dziecka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rozliczenia wyłącznie w przypadku wykonania badania diagnostycznego lub zabiegu diagnostycznego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 odpowiednim ryczałtem KOC I wymienionym w zał. 1 z produktami  dedykowanymi neonatologii</w:t>
              <w:br w:type="textWrapping"/>
              <w:t xml:space="preserve">wymienionymi </w:t>
              <w:br w:type="textWrapping"/>
              <w:t>w 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5.10.00.0000150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Podanie  immunoglobuliny anty RhD pacjentce RhD-ujemnej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konieczność udokumentowania zakupu fakturą/rachunkiem  (w przypadku wykorzystania produktu leczniczego dystrybuowanego przez RCKiK nie podlega rozliczeniu),</w:t>
              <w:br w:type="textWrapping"/>
              <w:t>- koszt immunoglobuliny anty-RhD, w wysokości nieprzekraczającej urzędowej ceny zbytu, określonej w obwieszczeniu Ministra Zdrowia w sprawie wykazu leków, środków spożywczych specjalnego przeznaczenia żywieniowego, dla których ustalono urzędową cenę zbytu, z uwzględnieniem art. 9 w zw. z art. 7 ustawy z dnia 12 maja 2011 r. o refundacji leków, środków spożywczych specjalnego przeznaczenia żywieniowego oraz wyrobów medycznych (Dz. U. 2022 r. poz. 2555, z późn. zm.),</w:t>
              <w:br w:type="textWrapping"/>
              <w:t> - wymagane wskazanie procedury wg ICD-9 99.111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odpowiednim ryczałtem KOC I wymienionym w 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5.10.99.0000156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Przetoczenie krwi pełnej konserwowanej.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289*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każdą jednostkę przetoczoną pacjentowi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z produktami </w:t>
              <w:br w:type="textWrapping"/>
              <w:t xml:space="preserve">wymienionymi </w:t>
              <w:br w:type="textWrapping"/>
              <w:t>w załączniku nr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5.10.99.0000157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Przetoczenie koncentratu krwinek czerwonych z krwi pełnej.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195*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każdą jednostkę przetoczoną pacjentowi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5.10.99.0000158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Przetoczenie koncentratu krwinek czerwonych z aferezy.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276*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każdą jednostkę przetoczoną pacjentowi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3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5.10.99.0000173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Przetoczenie ubogoleukocytarnego koncentratu krwinek płytkowych z krwi pełnej.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587*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za każdą dawkę terapeutyczną przetoczoną pacjentowi </w:t>
              <w:br w:type="textWrapping"/>
              <w:t>- do opłaty za dawkę terapeutyczną nie dolicza się opłaty dodatkowej za czynność połączenia pojedynczych jednostek uzyskanych z krwi pełnej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5.10.99.0000160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Przetoczenie ubogoleukocytarnego koncentratu krwinek płytkowych z aferezy.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1051*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każdą dawkę terapeutyczną przetoczoną pacjentowi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5.10.99.0000161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Przetoczenie koncentratu granulocytarnego.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1319*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każdą jednostkę przetoczoną pacjentowi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5.10.99.0000162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Przetoczenie osocza świeżo mrożonego.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105*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każdą jednostkę przetoczoną pacjentowi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5.10.99.0000163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Przetoczenie krioprecypitatu.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205*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każdą jednostkę przetoczoną pacjentowi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5.10.99.0000164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Karencja składnika krwi.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26*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każdą jednostkę</w:t>
              <w:br w:type="textWrapping"/>
              <w:t>- zgodnie z § 2 rozporządzenia Ministra Zdrowia wydanego na podstawie art. 19 ust. 2 ustawy z dnia 22 sierpnia 1997 r. o publicznej służbie krwi (Dz. U. z 2021 r. poz. 1749,  z późn. zm.), w związku z § 11 tego rozporządzenia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z produktami  wymienionymi </w:t>
              <w:br w:type="textWrapping"/>
              <w:t>w załączniku nr 1</w:t>
              <w:br w:type="textWrapping"/>
              <w:t>do rozliczania z produktami 5.10.99.0000162, 5.10.99.0000163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5.10.99.0000165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Redukcja biologicznych czynników chorobotwórczych osocza świeżo mrożonego.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129*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każdą jednostkę</w:t>
              <w:br w:type="textWrapping"/>
              <w:t>- zgodnie z § 3 rozporządzenia Ministra Zdrowia wydanego na podstawie art. 19 ust. 2 ustawy z dnia 22 sierpnia 1997 r. o publicznej służbie krwi (Dz. U. z  2021 r. poz. 1749,  z późn. zm.), w związku z § 11 tego rozporządzenia</w:t>
            </w: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5.10.99.0000166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Redukcja biologicznych czynników chorobotwórczych.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532*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każdą dawkę terapeutyczną / jednostkę</w:t>
              <w:br w:type="textWrapping"/>
              <w:t>- zgodnie z § 4 rozporządzenia Ministra Zdrowia wydanego na podstawie art. 19 ust. 2 ustawy z dnia 22 sierpnia 1997 r. o publicznej służbie krwi (Dz. U. z 2021 r. poz. 1749,  z późn. zm.), w związku z § 11 tego rozporządzenia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z produktami  wymienionymi </w:t>
              <w:br w:type="textWrapping"/>
              <w:t>w załączniku nr 1</w:t>
              <w:br w:type="textWrapping"/>
              <w:t>do rozliczania z produktami, 5.10.99.0000173, 5.10.99.0000160,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5.10.99.0000167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Napromieniowanie krwi lub jej składników.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27*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każdą dawkę terapeutyczną / dawkę pediatryczną / jednostkę</w:t>
              <w:br w:type="textWrapping"/>
              <w:t xml:space="preserve">- zgodnie z § 5 rozporządzenia Ministra Zdrowia wydanego na podstawie art. 19 ust. 2 ustawy z dnia 22 sierpnia 1997 r. o publicznej służbie krwi (Dz. U.z  2021 r. poz. 1749, z późn. zm.), w związku z § 11 tego rozporządzenia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z produktami  wymienionymi </w:t>
              <w:br w:type="textWrapping"/>
              <w:t>w załączniku nr 1</w:t>
              <w:br w:type="textWrapping"/>
              <w:t>do rozliczania z produktami 5.10.99.0000156, 5.10.99.0000157</w:t>
              <w:br w:type="textWrapping"/>
              <w:t>5.10.99.0000158, 5.10.99.0000173,</w:t>
              <w:br w:type="textWrapping"/>
              <w:t>5.10.99.0000160, 5.10.99.0000161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7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5.10.99.0000168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Filtrowanie jednostki krwi lub jej składników.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81*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każdą jednostkę</w:t>
              <w:br w:type="textWrapping"/>
              <w:t>- zgodnie z § 6 rozporządzenia Ministra Zdrowia wydanego na podstawie art. 19 ust. 2 ustawy z dnia 22 sierpnia 1997 r. o publicznej służbie krwi (Dz. U. z 2021 r. poz. 1749,  z późn. zm.), w związku z § 11 tego rozporządzenia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z produktami wymienionymi </w:t>
              <w:br w:type="textWrapping"/>
              <w:t>w załączniku nr 1</w:t>
              <w:br w:type="textWrapping"/>
              <w:t xml:space="preserve">do rozliczania z produktami </w:t>
              <w:br w:type="textWrapping"/>
              <w:t>5.10.99.0000156, 5.10.99.0000157</w:t>
              <w:br w:type="textWrapping"/>
              <w:t>5.10.99.0000158,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5.10.99.0000170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Przemywanie krwi lub jej składników.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101*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każdą dawkę terapeutyczną / dawkę pediatryczną / jednostkę</w:t>
              <w:br w:type="textWrapping"/>
              <w:t>- zgodnie z § 7 rozporządzenia Ministra Zdrowia wydanego na podstawie art. 19 ust. 2 ustawy z dnia 22 sierpnia 1997 r. o publicznej służbie krwi (Dz. U. z 2021 r. poz. 1749,  z późn. zm.), w związku z § 11 tego rozporządzenia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z produktami wymienionymi </w:t>
              <w:br w:type="textWrapping"/>
              <w:t>w załączniku nr 1</w:t>
              <w:br w:type="textWrapping"/>
              <w:t>do rozliczania z produktami</w:t>
              <w:br w:type="textWrapping"/>
              <w:t>5.10.99.0000157, 5.10.99.0000158</w:t>
              <w:br w:type="textWrapping"/>
              <w:t>5.10.99.0000173, 5.10.99.0000160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5.10.99.0000171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Podział krwi lub jej składników.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47*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każdą dawkę terapeutyczną / jednostkę</w:t>
              <w:br w:type="textWrapping"/>
              <w:t>- zgodnie z § 8 ust.1 rozporządzenia Ministra Zdrowia wydanego na podstawie art. 19 ust. 2 ustawy z dnia 22 sierpnia 1997 r. o publicznej służbie krwi (Dz. U. z 2021 r. poz. 1749,  z późn. zm.), w związku z § 11 tego rozporządzenia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z produktami wymienionymi </w:t>
              <w:br w:type="textWrapping"/>
              <w:t>w załączniku nr 1</w:t>
              <w:br w:type="textWrapping"/>
              <w:t>do rozliczania z produktami</w:t>
              <w:br w:type="textWrapping"/>
              <w:t xml:space="preserve">5.10.99.0000156, 5.10.99.0000157, </w:t>
              <w:br w:type="textWrapping"/>
              <w:t>5.10.99.0000158, 5.10.99.0000173, 5.10.99.0000160, 5.10.99.0000162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0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5.10.99.0000172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Rekonstytucja krwi lub jej składników.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145*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każdą dawkę terapeutyczną / dawkę pediatryczną / jednostkę</w:t>
              <w:br w:type="textWrapping"/>
              <w:t>- zgodnie z § 9 rozporządzenia Ministra Zdrowia wydanego na podstawie art. 19 ust. 2 ustawy z dnia 22 sierpnia 1997 r. o publicznej służbie krwi (Dz. U. z 2021 r. poz. 1749, z późn. zm.), w związku z § 11 tego rozporządzenia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z produktami wymienionymi </w:t>
              <w:br w:type="textWrapping"/>
              <w:t xml:space="preserve">w załączniku nr  1</w:t>
              <w:br w:type="textWrapping"/>
              <w:t>do rozliczania z produktami</w:t>
              <w:br w:type="textWrapping"/>
              <w:t xml:space="preserve">5.10.99.0000156, 5.10.99.0000157, </w:t>
              <w:br w:type="textWrapping"/>
              <w:t>5.10.99.0000158, 5.10.99.0000173, 5.10.99.0000160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5.10.99.0000174</w:t>
            </w:r>
          </w:p>
        </w:tc>
        <w:tc>
          <w:tcPr>
            <w:tcW w:w="4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Osocze świeżo mrożone pobrane metodą aferezy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47*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za każdą jednostkę</w:t>
              <w:br w:type="textWrapping"/>
              <w:t> - zgodnie z § 8 ust. 2 rozporządzenia Ministra Zdrowia wydanego na podstawie art. 19 ust. 2 ustawy z dnia 22 sierpnia 1997 r. o publicznej służbie krwi (Dz. U. z 2021 r. poz. 1749, z późn. zm.), w związku z § 11 tego rozporządzenia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z produktami wymienionymi </w:t>
              <w:br w:type="textWrapping"/>
              <w:t>w załączniku nr 1</w:t>
              <w:br w:type="textWrapping"/>
              <w:t>do rozliczania z produktem</w:t>
              <w:br w:type="textWrapping"/>
              <w:t>5.10.99.0000162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290" w:type="dxa"/>
            <w:gridSpan w:val="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(*)  wartość ustalona na podstawie rozporządzenia Ministra Zdrowia z dnia 27 grudnia 2022 r. w sprawie określenia wysokości opłat za krew i jej składniki w 2023 r. (Dz. U. poz. 2817).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2023-02-06T13:11:57Z</dcterms:created>
  <cp:lastModifiedBy>Popiołek Tomasz</cp:lastModifiedBy>
  <dcterms:modified xsi:type="dcterms:W3CDTF">2023-02-09T11:37:13Z</dcterms:modified>
  <cp:revision>10</cp:revision>
  <dc:subject>zmieniające zarządzenie w sprawie określenia warunków zawierania i realizacji umów w rodzaju świadczenia zdrowotne kontraktowane odrębnie</dc:subject>
  <dc:title>Zarządzenie</dc:title>
</cp:coreProperties>
</file>