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E329A3" Type="http://schemas.openxmlformats.org/officeDocument/2006/relationships/officeDocument" Target="/word/document.xml" /><Relationship Id="coreRCE329A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3675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264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4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27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39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z katalogu świadczeń podstawowych, w odniesieniu do kótrego współczynnik korygujący może zostać zastosowany</w:t>
            </w:r>
          </w:p>
        </w:tc>
        <w:tc>
          <w:tcPr>
            <w:tcW w:w="36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substancja czynna</w:t>
            </w:r>
          </w:p>
        </w:tc>
        <w:tc>
          <w:tcPr>
            <w:tcW w:w="26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próg kosztowy rozliczenia substancji czynnej uprawniający do zastosowania współczynnika korygującego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 współczynnika korygującego</w:t>
            </w:r>
          </w:p>
        </w:tc>
        <w:tc>
          <w:tcPr>
            <w:tcW w:w="27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 w:color="00000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świadczenia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</w:t>
            </w:r>
          </w:p>
        </w:tc>
        <w:tc>
          <w:tcPr>
            <w:tcW w:w="12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7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5.08.05.0000170</w:t>
            </w:r>
          </w:p>
        </w:tc>
        <w:tc>
          <w:tcPr>
            <w:tcW w:w="2100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hospitalizacja hematologiczna u dorosłych</w:t>
            </w:r>
          </w:p>
        </w:tc>
        <w:tc>
          <w:tcPr>
            <w:tcW w:w="1860" w:type="dxa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81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27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0,0032</w:t>
            </w:r>
          </w:p>
        </w:tc>
        <w:tc>
          <w:tcPr>
            <w:tcW w:w="136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restart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Współczynnik korygujący może zostać zastosowany w odniesieniu do świadczenia wskazanego w kolumnie 1, rozliczanego w związku z terapią pacjentów, u których stosowana jest substancja czynna, o której mowa kolumnie 2, spełniająca warunek kosztowy określony w kolumnie 3 w przypadku każdego z podań lub wydań leku danemu pacjentowi w danym okresie.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1,6720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1,0299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azacitidinum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5,3649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5.08.05.0000171</w:t>
            </w:r>
          </w:p>
        </w:tc>
        <w:tc>
          <w:tcPr>
            <w:tcW w:w="2100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hospitalizacja onkologiczna u dorosłych</w:t>
            </w:r>
          </w:p>
        </w:tc>
        <w:tc>
          <w:tcPr>
            <w:tcW w:w="1860" w:type="dxa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81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27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0,0032</w:t>
            </w:r>
          </w:p>
        </w:tc>
        <w:tc>
          <w:tcPr>
            <w:tcW w:w="136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1,6720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1,0299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azacitidinum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5,3649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4" w:space="0" w:shadow="0" w:frame="0" w:color="00000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60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5.08.05.0000172</w:t>
            </w:r>
          </w:p>
        </w:tc>
        <w:tc>
          <w:tcPr>
            <w:tcW w:w="2100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kompleksowa porada ambulatoryjna dotycząca chemioterapii</w:t>
            </w:r>
          </w:p>
        </w:tc>
        <w:tc>
          <w:tcPr>
            <w:tcW w:w="1860" w:type="dxa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81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27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1,6720</w:t>
            </w:r>
          </w:p>
        </w:tc>
        <w:tc>
          <w:tcPr>
            <w:tcW w:w="136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1,0299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azacitidinum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5,3649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5.08.05.0000173</w:t>
            </w:r>
          </w:p>
        </w:tc>
        <w:tc>
          <w:tcPr>
            <w:tcW w:w="21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podstawowa porada ambulatoryjna dotycząca chemioterapii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0,0032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5.08.05.0000174</w:t>
            </w:r>
          </w:p>
        </w:tc>
        <w:tc>
          <w:tcPr>
            <w:tcW w:w="21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hospitalizacja hematoonkologicza u dzieci 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0,0032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1,6720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1,0299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azacitidinum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5,3649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</w:pPr>
            <w:r>
              <w:rPr>
                <w:sz w:val="20"/>
              </w:rPr>
              <w:t>5.08.05.0000175</w:t>
            </w:r>
          </w:p>
        </w:tc>
        <w:tc>
          <w:tcPr>
            <w:tcW w:w="21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 xml:space="preserve">hospitalizacja jednego dnia związana </w:t>
              <w:br w:type="textWrapping"/>
              <w:t>z podaniem leku z części A katalogu leków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0,0032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1,6720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1,0299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21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azacitidinum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5,3649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5.08.05.0000176</w:t>
            </w:r>
          </w:p>
        </w:tc>
        <w:tc>
          <w:tcPr>
            <w:tcW w:w="2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 jednego dnia w pozostałych przypadkach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27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2022-01-27T10:23:27Z</dcterms:created>
  <cp:lastModifiedBy>Szwaj Joanna</cp:lastModifiedBy>
  <dcterms:modified xsi:type="dcterms:W3CDTF">2022-02-11T15:03:21Z</dcterms:modified>
  <cp:revision>36</cp:revision>
  <dc:subject>w sprawie określenia warunków zawierania i realizacji umów w rodzaju leczenie szpitalne w zakresie chemioterapia</dc:subject>
  <dc:title>Zarządzenie</dc:title>
</cp:coreProperties>
</file>