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67C14AF" Type="http://schemas.openxmlformats.org/officeDocument/2006/relationships/officeDocument" Target="/word/document.xml" /><Relationship Id="coreR167C14A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zarządzenia Nr 17/2022/DGL</w:t>
        <w:br w:type="textWrapping"/>
        <w:t>Prezesa Narodowego Funduszu Zdrowia</w:t>
        <w:br w:type="textWrapping"/>
        <w:t>z dnia 11 lutego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OKRESOWA OCENA SKUTECZNOŚCI CHEMIOTERAPII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left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single" w:color="000000"/>
          <w:vertAlign w:val="baseline"/>
        </w:rPr>
        <w:t>Zasady realizacji świadczenia:</w:t>
      </w:r>
    </w:p>
    <w:p>
      <w:pPr>
        <w:spacing w:before="120" w:after="120" w:beforeAutospacing="0" w:afterAutospacing="0"/>
        <w:ind w:hanging="227" w:left="340"/>
        <w:rPr>
          <w:color w:val="000000"/>
        </w:rPr>
      </w:pPr>
      <w:r>
        <w:t>1) </w:t>
      </w:r>
      <w:r>
        <w:rPr>
          <w:color w:val="000000"/>
          <w:u w:val="none" w:color="000000"/>
        </w:rPr>
        <w:t>świadczeniodawca posiada i realizuje umowę o udzielanie świadczeń opieki zdrowotnej w zakresie chemioterapia w trybie ambulatoryjnym;</w:t>
      </w:r>
    </w:p>
    <w:p>
      <w:pPr>
        <w:spacing w:before="120" w:after="120" w:beforeAutospacing="0" w:afterAutospacing="0"/>
        <w:ind w:hanging="227" w:left="340"/>
        <w:jc w:val="left"/>
        <w:rPr>
          <w:color w:val="000000"/>
        </w:rPr>
      </w:pPr>
      <w:r>
        <w:t>2) </w:t>
      </w:r>
      <w:r>
        <w:rPr>
          <w:color w:val="000000"/>
          <w:u w:val="none" w:color="000000"/>
        </w:rPr>
        <w:t>świadczenie może być realizowane wyłącznie w trybie ambulatoryjnym;</w:t>
      </w:r>
    </w:p>
    <w:p>
      <w:pPr>
        <w:spacing w:before="120" w:after="120" w:beforeAutospacing="0" w:afterAutospacing="0"/>
        <w:ind w:hanging="227" w:left="340"/>
        <w:rPr>
          <w:color w:val="000000"/>
        </w:rPr>
      </w:pPr>
      <w:r>
        <w:t>3) </w:t>
      </w:r>
      <w:r>
        <w:rPr>
          <w:color w:val="000000"/>
          <w:u w:val="none" w:color="000000"/>
        </w:rPr>
        <w:t>realizacja świadczenia polega na wykonaniu pakietu badań laboratoryjnych lub obrazowych dostosowanych do leczenia i monitorowania skuteczności terapii danego typu nowotworu w określonej lokalizacji;</w:t>
      </w:r>
    </w:p>
    <w:p>
      <w:pPr>
        <w:spacing w:before="120" w:after="120" w:beforeAutospacing="0" w:afterAutospacing="0"/>
        <w:ind w:hanging="227" w:left="340"/>
        <w:rPr>
          <w:color w:val="000000"/>
        </w:rPr>
      </w:pPr>
      <w:r>
        <w:t>4) </w:t>
      </w:r>
      <w:r>
        <w:rPr>
          <w:color w:val="000000"/>
          <w:u w:val="none" w:color="000000"/>
        </w:rPr>
        <w:t>świadczeniodawca zobowiązany jest prowadzić „Indywidualną Kartę Leczenia Chorego”, której wzór określa załącznik nr 4 do zarządzenia, która dołączona jest do indywidualnej dokumentacji medycznej pacjenta;</w:t>
      </w:r>
    </w:p>
    <w:p>
      <w:pPr>
        <w:spacing w:before="120" w:after="120" w:beforeAutospacing="0" w:afterAutospacing="0"/>
        <w:ind w:hanging="227" w:left="340"/>
        <w:rPr>
          <w:color w:val="000000"/>
        </w:rPr>
      </w:pPr>
      <w:r>
        <w:t>5) </w:t>
      </w:r>
      <w:r>
        <w:rPr>
          <w:color w:val="000000"/>
          <w:u w:val="none" w:color="000000"/>
        </w:rPr>
        <w:t>świadczenie wykonywane i rozliczane jest nie częściej niż raz w miesiącu i nie rzadziej niż raz na trzy miesiące.</w:t>
      </w:r>
    </w:p>
    <w:p>
      <w:pPr>
        <w:spacing w:before="120" w:after="120" w:beforeAutospacing="0" w:afterAutospacing="0"/>
        <w:ind w:firstLine="113"/>
        <w:jc w:val="left"/>
        <w:rPr>
          <w:rFonts w:ascii="Times New Roman" w:hAnsi="Times New Roman"/>
          <w:b w:val="1"/>
          <w:color w:val="000000"/>
          <w:sz w:val="22"/>
          <w:u w:val="single" w:color="000000"/>
        </w:rPr>
      </w:pPr>
      <w:r>
        <w:rPr>
          <w:rFonts w:ascii="Times New Roman" w:hAnsi="Times New Roman"/>
          <w:b w:val="1"/>
          <w:color w:val="000000"/>
          <w:sz w:val="22"/>
          <w:u w:val="single" w:color="000000"/>
        </w:rPr>
        <w:t>Zasady finansowania świadczenia:</w:t>
      </w:r>
    </w:p>
    <w:p>
      <w:pPr>
        <w:spacing w:before="120" w:after="120" w:beforeAutospacing="0" w:afterAutospacing="0"/>
        <w:ind w:hanging="227" w:left="340"/>
        <w:rPr>
          <w:color w:val="000000"/>
        </w:rPr>
      </w:pPr>
      <w:r>
        <w:t>1) </w:t>
      </w:r>
      <w:r>
        <w:rPr>
          <w:color w:val="000000"/>
          <w:u w:val="none" w:color="000000"/>
        </w:rPr>
        <w:t>świadczenie może być rozliczane:</w:t>
      </w:r>
    </w:p>
    <w:p>
      <w:pPr>
        <w:keepLines w:val="1"/>
        <w:spacing w:before="120" w:after="120" w:beforeAutospacing="0" w:afterAutospacing="0"/>
        <w:ind w:hanging="227" w:left="567"/>
        <w:rPr>
          <w:color w:val="000000"/>
        </w:rPr>
      </w:pPr>
      <w:r>
        <w:t>a) </w:t>
      </w:r>
      <w:r>
        <w:rPr>
          <w:color w:val="000000"/>
          <w:u w:val="none" w:color="000000"/>
        </w:rPr>
        <w:t>raz w miesiącu, po wykonaniu badań niezbędnych do monitorowania leczenia pacjenta lub</w:t>
      </w:r>
    </w:p>
    <w:p>
      <w:pPr>
        <w:keepLines w:val="1"/>
        <w:spacing w:before="120" w:after="120" w:beforeAutospacing="0" w:afterAutospacing="0"/>
        <w:ind w:hanging="227" w:left="567"/>
        <w:rPr>
          <w:color w:val="000000"/>
        </w:rPr>
      </w:pPr>
      <w:r>
        <w:t>b) </w:t>
      </w:r>
      <w:r>
        <w:rPr>
          <w:color w:val="000000"/>
          <w:u w:val="none" w:color="000000"/>
        </w:rPr>
        <w:t>raz na 3 miesiące, w przypadku poniesienia przez świadczeniodawcę uzasadnionych kosztów badań, w wysokości trzykrotnej wartości rozliczenia miesięcznego;</w:t>
      </w:r>
    </w:p>
    <w:p>
      <w:pPr>
        <w:spacing w:before="120" w:after="120" w:beforeAutospacing="0" w:afterAutospacing="0"/>
        <w:ind w:hanging="227" w:left="340"/>
        <w:jc w:val="left"/>
        <w:rPr>
          <w:color w:val="000000"/>
          <w:u w:val="none" w:color="000000"/>
        </w:rPr>
      </w:pPr>
      <w:r>
        <w:t>2) </w:t>
      </w:r>
      <w:r>
        <w:rPr>
          <w:color w:val="000000"/>
          <w:u w:val="none" w:color="000000"/>
        </w:rPr>
        <w:t>świadczenie jest rozliczane proporcjonalnie do czasu trwania leczenia danego pacjenta w ramach umowy o udzielanie świadczeń opieki zdrowotnej finansowanych ze środków publicznych w rodzaju leczenie szpitalne w zakresie chemioterapia.</w:t>
      </w:r>
    </w:p>
    <w:p>
      <w:pPr>
        <w:spacing w:before="120" w:after="120" w:beforeAutospacing="0" w:afterAutospacing="0"/>
        <w:ind w:hanging="227" w:left="34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beata.piatkowska</dc:creator>
  <dcterms:created xsi:type="dcterms:W3CDTF">2022-01-24T13:01:33Z</dcterms:created>
  <cp:lastModifiedBy>Szwaj Joanna</cp:lastModifiedBy>
  <dcterms:modified xsi:type="dcterms:W3CDTF">2022-02-11T15:03:18Z</dcterms:modified>
  <cp:revision>125</cp:revision>
  <dc:subject>w sprawie określenia warunków zawierania i realizacji umów w rodzaju leczenie szpitalne w zakresie chemioterapia</dc:subject>
  <dc:title>Zarządzenie</dc:title>
</cp:coreProperties>
</file>