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EAA2F59" Type="http://schemas.openxmlformats.org/officeDocument/2006/relationships/officeDocument" Target="/word/document.xml" /><Relationship Id="coreREAA2F5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8 do zarządzenia nr 11/2026/DGL</w:t>
        <w:br w:type="textWrapping"/>
        <w:t>Prezesa Narodowego Funduszu Zdrowia</w:t>
        <w:br w:type="textWrapping"/>
        <w:t>z dnia 28 stycznia 2026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biologicznego w chorobach reumatycznych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344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</w:tblPrEx>
        <w:trPr>
          <w:trHeight w:hRule="atLeast" w:val="459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biologicznego w chorobach reumatycznych oraz weryfikacja jego skuteczności</w:t>
            </w:r>
          </w:p>
        </w:tc>
      </w:tr>
      <w:tr>
        <w:tblPrEx>
          <w:tblW w:w="5000" w:type="pct"/>
          <w:tblLayout w:type="fixed"/>
        </w:tblPrEx>
        <w:trPr>
          <w:trHeight w:hRule="atLeast" w:val="2069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Leczenie chorych z aktywną postacią reumatoidalnego zapalenia stawów i młodzieńczego idiopatycznego zapalenia stawów;</w:t>
            </w:r>
          </w:p>
          <w:p>
            <w:pPr>
              <w:jc w:val="left"/>
            </w:pPr>
            <w:r>
              <w:rPr>
                <w:sz w:val="20"/>
              </w:rPr>
              <w:t>2) Leczenie chorych z łuszczycowym zapaleniem stawów (ŁZS);</w:t>
            </w:r>
          </w:p>
          <w:p>
            <w:pPr>
              <w:jc w:val="left"/>
            </w:pPr>
            <w:r>
              <w:rPr>
                <w:sz w:val="20"/>
              </w:rPr>
              <w:t>3) Leczenie chorych z aktywną postacią zesztywniającego zapalenia stawów kręgosłupa (ZZSK);</w:t>
            </w:r>
          </w:p>
          <w:p>
            <w:pPr>
              <w:jc w:val="left"/>
            </w:pPr>
            <w:r>
              <w:rPr>
                <w:sz w:val="20"/>
              </w:rPr>
              <w:t>4) Leczenie pacjentów z aktywną postacią spondyloartropatii (SpA) bez zmian radiograficznych charakterystycznych dla ZZSK;</w:t>
            </w:r>
          </w:p>
          <w:p>
            <w:pPr>
              <w:jc w:val="left"/>
            </w:pPr>
            <w:r>
              <w:rPr>
                <w:sz w:val="20"/>
              </w:rPr>
              <w:t>5) Leczenie pacjentów z chorobą śródmiąższową płuc;</w:t>
            </w:r>
          </w:p>
          <w:p>
            <w:pPr>
              <w:jc w:val="left"/>
            </w:pPr>
            <w:r>
              <w:rPr>
                <w:sz w:val="20"/>
              </w:rPr>
              <w:t>6) Leczenie chorych z toczniem rumieniowatym układowym;</w:t>
            </w:r>
          </w:p>
          <w:p>
            <w:pPr>
              <w:jc w:val="left"/>
            </w:pPr>
            <w:r>
              <w:rPr>
                <w:sz w:val="20"/>
              </w:rPr>
              <w:t>7) Leczenie pacjentów z układowymi zapaleniami naczyń.</w:t>
            </w:r>
          </w:p>
        </w:tc>
      </w:tr>
      <w:tr>
        <w:tblPrEx>
          <w:tblW w:w="5000" w:type="pct"/>
          <w:tblLayout w:type="fixed"/>
        </w:tblPrEx>
        <w:trPr>
          <w:trHeight w:hRule="atLeast" w:val="2069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M 05 reumatoidalne zapalenie stawów (RZS);</w:t>
            </w:r>
          </w:p>
          <w:p>
            <w:pPr>
              <w:jc w:val="left"/>
            </w:pPr>
            <w:r>
              <w:rPr>
                <w:sz w:val="20"/>
              </w:rPr>
              <w:t>2) M 06 seronegatywne reumatoidalne zapalenie stawów;</w:t>
            </w:r>
          </w:p>
          <w:p>
            <w:pPr>
              <w:jc w:val="left"/>
            </w:pPr>
            <w:r>
              <w:rPr>
                <w:sz w:val="20"/>
              </w:rPr>
              <w:t>3) M 08 młodzieńcze idiopatyczne zapalenie stawów (MIZS);</w:t>
            </w:r>
          </w:p>
          <w:p>
            <w:pPr>
              <w:jc w:val="left"/>
            </w:pPr>
            <w:r>
              <w:rPr>
                <w:sz w:val="20"/>
              </w:rPr>
              <w:t>4) M 45 zesztywniające zapalenie stawów kręgosłupa;</w:t>
            </w:r>
          </w:p>
          <w:p>
            <w:pPr>
              <w:jc w:val="left"/>
            </w:pPr>
            <w:r>
              <w:rPr>
                <w:sz w:val="20"/>
              </w:rPr>
              <w:t>5) L 40.5 łuszczyca stawowa;</w:t>
            </w:r>
          </w:p>
          <w:p>
            <w:pPr>
              <w:jc w:val="left"/>
            </w:pPr>
            <w:r>
              <w:rPr>
                <w:sz w:val="20"/>
              </w:rPr>
              <w:t>6) M 07.1 okaleczające zapalenie stawów;</w:t>
            </w:r>
          </w:p>
          <w:p>
            <w:pPr>
              <w:jc w:val="left"/>
            </w:pPr>
            <w:r>
              <w:rPr>
                <w:sz w:val="20"/>
              </w:rPr>
              <w:t>7) M 07.2 łuszczycowa spondyloartropatia;</w:t>
            </w:r>
          </w:p>
          <w:p>
            <w:pPr>
              <w:jc w:val="left"/>
            </w:pPr>
            <w:r>
              <w:rPr>
                <w:sz w:val="20"/>
              </w:rPr>
              <w:t>8) M 07.3 artropatia towarzysząca chorobie Crohna;</w:t>
            </w:r>
          </w:p>
          <w:p>
            <w:pPr>
              <w:jc w:val="left"/>
            </w:pPr>
            <w:r>
              <w:rPr>
                <w:sz w:val="20"/>
              </w:rPr>
              <w:t>9) M 46.8 Inne określone zapalne choroby kręgosłupa;</w:t>
            </w:r>
          </w:p>
          <w:p>
            <w:pPr>
              <w:jc w:val="left"/>
            </w:pPr>
            <w:r>
              <w:rPr>
                <w:sz w:val="20"/>
              </w:rPr>
              <w:t>10) M 34 twardzina układowa;</w:t>
            </w:r>
          </w:p>
          <w:p>
            <w:pPr>
              <w:jc w:val="left"/>
            </w:pPr>
            <w:r>
              <w:rPr>
                <w:sz w:val="20"/>
              </w:rPr>
              <w:t>11) J 99.0 reumatoidalna choroba płuc;</w:t>
            </w:r>
          </w:p>
          <w:p>
            <w:pPr>
              <w:jc w:val="left"/>
            </w:pPr>
            <w:r>
              <w:rPr>
                <w:sz w:val="20"/>
              </w:rPr>
              <w:t>12) J 99.1 zaburzenia układu oddechowego w innych układowych chorobach tkanki łącznej;</w:t>
            </w:r>
          </w:p>
          <w:p>
            <w:pPr>
              <w:jc w:val="left"/>
            </w:pPr>
            <w:r>
              <w:rPr>
                <w:sz w:val="20"/>
              </w:rPr>
              <w:t>13) M 32 toczeń rumieniowaty układowy;</w:t>
            </w:r>
          </w:p>
          <w:p>
            <w:pPr>
              <w:jc w:val="left"/>
            </w:pPr>
            <w:r>
              <w:rPr>
                <w:sz w:val="20"/>
              </w:rPr>
              <w:t>14) M30.1 guzkowe zapalenie tętnic z zajęciem płuc (EGPA)</w:t>
            </w:r>
          </w:p>
          <w:p>
            <w:pPr>
              <w:jc w:val="left"/>
            </w:pPr>
            <w:r>
              <w:rPr>
                <w:sz w:val="20"/>
              </w:rPr>
              <w:t>15) M 31.3 ziarniniakowatość z zapaleniem naczyń (GPA);</w:t>
            </w:r>
          </w:p>
          <w:p>
            <w:pPr>
              <w:jc w:val="left"/>
            </w:pPr>
            <w:r>
              <w:rPr>
                <w:sz w:val="20"/>
              </w:rPr>
              <w:t>16) M 31.5 olbrzymiokomórkowe zapalenie tętnic ze współistnieniem polimialgii reumatycznej (GCA);</w:t>
            </w:r>
          </w:p>
          <w:p>
            <w:pPr>
              <w:jc w:val="left"/>
            </w:pPr>
            <w:r>
              <w:rPr>
                <w:sz w:val="20"/>
              </w:rPr>
              <w:t>17) M 31.6 inne olbrzymiokomórkowe zapalenie tętnic;</w:t>
            </w:r>
          </w:p>
          <w:p>
            <w:pPr>
              <w:jc w:val="left"/>
            </w:pPr>
            <w:r>
              <w:rPr>
                <w:sz w:val="20"/>
              </w:rPr>
              <w:t>18) M 31.7 mikroskopowe zapalenie wielonaczyniowe (MPA);</w:t>
            </w:r>
          </w:p>
          <w:p>
            <w:pPr>
              <w:jc w:val="left"/>
            </w:pPr>
            <w:r>
              <w:rPr>
                <w:sz w:val="20"/>
              </w:rPr>
              <w:t>19) M 31.8 inne określone martwicze choroby naczyń krwionośnych.</w:t>
            </w:r>
          </w:p>
        </w:tc>
      </w:tr>
      <w:tr>
        <w:tblPrEx>
          <w:tblW w:w="5000" w:type="pct"/>
          <w:tblLayout w:type="fixed"/>
        </w:tblPrEx>
        <w:trPr>
          <w:trHeight w:hRule="atLeast" w:val="344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</w:tblPrEx>
        <w:trPr>
          <w:trHeight w:hRule="atLeast" w:val="465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Biologicznego w Chorobach Reumatycznych</w:t>
            </w:r>
          </w:p>
        </w:tc>
      </w:tr>
      <w:tr>
        <w:tblPrEx>
          <w:tblW w:w="5000" w:type="pct"/>
          <w:tblLayout w:type="fixed"/>
        </w:tblPrEx>
        <w:trPr>
          <w:trHeight w:hRule="atLeast" w:val="465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Narodowy Instytut Geriatrii, Reumatologii i Rehabilitacji im. prof. dr hab. med. Eleonory Reicher</w:t>
            </w:r>
          </w:p>
          <w:p>
            <w:pPr>
              <w:jc w:val="left"/>
            </w:pPr>
            <w:r>
              <w:rPr>
                <w:sz w:val="20"/>
              </w:rPr>
              <w:t>ul. Spartańska 1</w:t>
            </w:r>
          </w:p>
          <w:p>
            <w:pPr>
              <w:jc w:val="left"/>
            </w:pPr>
            <w:r>
              <w:rPr>
                <w:sz w:val="20"/>
              </w:rPr>
              <w:t>02-637 Warszawa</w:t>
            </w: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opisach programów lekowych wymienionych w pkt 1.2 z zastrzeżeniem możliwości uzyskania indywidualnej zgody Zespołu w określonych przypadkach;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2 - 5.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</w:tblPrEx>
        <w:tc>
          <w:tcPr>
            <w:tcW w:w="10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2. Wzory dokumentów niezbędnych dla kwalifikacji pacjenta do leczenia w programie lekowym Leczenie pacjentów z układowymi zapaleniami naczyń (ICD-10: M30.1, M31.3, M31.5, M31.6, M31.7, M31.8) – moduł EGPA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Wzór wniosku o kwalifikację do leczenia benralizumabem w programie Leczenie pacjentów z układowymi zapaleniami naczyń (ICD-10: M31.3, M31.5, M31.6, M31.7, M31.8)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5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punktów w skali BVAS:……………………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NIE*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Postać choroby definiowana jako:</w:t>
            </w: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nawracająco-ustępująca: co najmniej jeden nawrót aktywnej choroby (BVAS≥2) w okresie 6 miesięcy poprzedzających włączenie do programu, pomimo stosowania skojarzonego leczenia podtrzymującego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b) oporna na leczenie w okresie 6 miesięcy poprzedzających włączenie do programu: brak uzyskania ci najmniej niskiej aktywności choroby (BVAS&lt;2) pomimo stosowania zalecanego przez ACR/EULAR skojarzonego leczenia indukującego remisję w pierwszej linii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c) oporna na leczenie w okresie 6 miesięcy poprzedzających włączenie do programu: nawrót aktywnej choroby (BVAS≥2) u pacjentów stosujących skojarzone leczenie podtrzymujące 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Pacjent spełnia wszystkie pozostałe kryteria kwalifikacji określone w aktualnie obowiązującym opisie programu lekowego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Wykonano wszystkie wymagane badania diagnostyczne przed kwalifikacją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 Brak przeciwwskazań do leczenia biologicznego zgodnie z ChPL i rekomendacjami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……………………...............................................…………………..………………………………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benralizumabem w programie lekowym Leczenie pacjentów z układowymi zapaleniami naczyń (ICD-10: M30.1, M31.3, M31.5, M31.6, M31.7, M31.8) – moduł EGPA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benralizumab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Przewodniczącego Zespołu Koordynacyjnego ds. Leczenia Biologicznego w Chorobach Reumatycznych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2.1 Załącznik do wniosku o zakwalifikowanie pacjenta do leczenia w programie lekowym Leczenie pacjentów z układowymi zapaleniami naczyń (ICD-10: M30.1, M31.3, M31.5, M31.6, M31.7, M31.8)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benralizumabem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Podpis pacjenta 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lekarza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* </w:t>
            </w:r>
            <w:r>
              <w:rPr>
                <w:i w:val="1"/>
                <w:sz w:val="20"/>
              </w:rPr>
              <w:t>niepotrzebne skreślić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</w:tblPrEx>
        <w:tc>
          <w:tcPr>
            <w:tcW w:w="10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3. Wzory dokumentów niezbędnych dla kwalifikacji pacjenta do leczenia w programie lekowym Leczenie chorych z toczniem rumieniowatym układowym (TRU, SLE) (ICD-10: M32) 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Wzór wniosku o kwalifikację do leczenia rytuksymabem w programie Leczenie chorych z toczniem rumieniowatym układowym (TRU, SLE) (ICD-10: M32)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5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Aktywność choroby- liczba punktów w skali (SLEDAI-2K/ BILAG-2004):……………………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Ogólna ocena aktywności choroby w skali PGA:…………………………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leczony w przeszłości anifrolumabem w programie lekowym? (TAK/ NIE):.................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NIE*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Aktywność choroby definiowana jako:</w:t>
            </w: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wartość SLEDAI-2K ≥6, w tym wartość klinicznego SLEDAI-2K ≥4 lub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b) ocena stopnia aktywności choroby w skali BILAG-2004 ≥1A lub ≥2B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Wartość ogólnej oceny aktywności choroby przez lekarza w skali PGA &gt;1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Pacjent spełnia wszystkie pozostałe kryteria kwalifikacji określone w aktualnie obowiązującym opisie programu lekowego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Wykonano wszystkie wymagane badania diagnostyczne przed kwalifikacją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 Brak przeciwwskazań do leczenia biologicznego zgodnie z ChPL i rekomendacjami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……………………................................................…………………..………………………………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rytuksymabem w programie lekowym Leczenie chorych z toczniem rumieniowatym układowym (TRU, SLE) (ICD-10: M32)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rytuksymab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Przewodniczącego Zespołu Koordynacyjnego ds. Leczenia Biologicznego w Chorobach Reumatycznych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Pozostałe informacje dotyczące przetwarzania danych osobowych przez NFZ, dostępne są na stronie internetowej: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"www.nfz.gov.pl/bip/informacja-ado-nfz/"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sz w:val="22"/>
          <w:u w:val="none" w:color="000000"/>
          <w:vertAlign w:val="baseline"/>
        </w:rPr>
        <w:t>www.nfz.gov.pl/bip/informacja-ado-nfz/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end"/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3.1 Załącznik do wniosku o zakwalifikowanie pacjenta do leczenia w programie lekowym Leczenie chorych z toczniem rumieniowatym układowym (TRU, SLE) (ICD-10: M32)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rytuksymabem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Podpis pacjenta 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lekarza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* </w:t>
            </w:r>
            <w:r>
              <w:rPr>
                <w:i w:val="1"/>
                <w:sz w:val="20"/>
              </w:rPr>
              <w:t>niepotrzebne skreślić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</w:tblPrEx>
        <w:tc>
          <w:tcPr>
            <w:tcW w:w="10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4. Wzory dokumentów niezbędnych dla kwalifikacji pacjenta do leczenia w programie lekowym Leczenie pacjentów z chorobą śródmiąższową płuc (ICD-10: D86, J67.0-J67.9, J84.1, J84.8, J84.9, J99.0, J99.1, M34) 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Wzór wniosku o kwalifikację do leczenia rytuksymabem w programie Leczenie pacjentów z chorobą śródmiąższową płuc (ICD-10: D86, J67.0-J67.9, J84.1, J84.8, J84.9, J99.0, J99.1, M34)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5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Rozpoznanie (PF-ILD/ SSc-ILD):……………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Wnioskowane stosowanie rytuksymabu (w monoterapii/ w skojarzeniu z nintedanibem):…………………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NIE*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I. Dotyczy rozpoznania SSc-ILD:</w:t>
            </w: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Rozpoznanie twardziny układowej zgodnie z rekomendacjami EULAR/ACR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Spełnienie jednego z poniższych kryteriów: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zmiany włókniste w badaniu TKWR zajmują co najmniej 10% oraz udokumentowano spadek wartości FVC o co najmniej 10% lub spadek wartości FVC o co najmniej 5% i spadek TLCO a co najmniej 15% lub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b) zmiany włókniste w badaniu TKWR zajmują co najmniej 10% oraz wartość FVC stanowi &lt;70% wartości należnej lub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II. Dotyczy rozpoznania PF-ILD:</w:t>
            </w: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Rozpoznanie układowej choroby tkanki łącznej, w tym RZS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Spełnienie jednego z poniższych kryteriów: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zmiany o typie włóknienia w badaniu TKWR zajmują co najmniej 10% oraz udokumentowano spadek wartości FVC lub progresję włóknienia płuc zgodnie z opisem programu lekowego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b) zmiany o typie włóknienia w badaniu TKWR zajmują co najmniej 10% oraz wartość FVC stanowi &lt;70% wartości należnej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c) zmiany o typie włóknienia w badaniu TKWR zajmują co najmniej 20%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III. Wartość ogólnej oceny aktywności choroby przez lekarza w skali PGA &gt;1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IV. Pacjent spełnia wszystkie pozostałe kryteria kwalifikacji określone w aktualnie obowiązującym opisie programu lekowego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V. Wykonano wszystkie wymagane badania diagnostyczne przed kwalifikacją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VI. Brak przeciwwskazań do leczenia biologicznego zgodnie z ChPL i rekomendacjami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……………………...............................................…………………..………………………………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rytuksymabem w programie lekowym Leczenie pacjentów z chorobą śródmiąższową płuc (ICD-10: D86, J67.0-J67.9, J84.1, J84.8, J84.9, J99.0, J99.1, M34)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rytuksymab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Przewodniczącego Zespołu Koordynacyjnego ds. Leczenia Biologicznego w Chorobach Reumatycznych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4.1 Załącznik do wniosku o zakwalifikowanie pacjenta do leczenia w programie lekowym Leczenie pacjentów z chorobą śródmiąższową płuc (ICD-10: D86, J67.0-J67.9, J84.1, J84.8, J84.9, J99.0, J99.1, M34)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rytuksymabem (w monoterapii/ w skojarzeniu z nintedanibem)*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Podpis pacjenta 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lekarza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* </w:t>
            </w:r>
            <w:r>
              <w:rPr>
                <w:i w:val="1"/>
                <w:sz w:val="20"/>
              </w:rPr>
              <w:t>niepotrzebne skreślić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</w:tblPrEx>
        <w:tc>
          <w:tcPr>
            <w:tcW w:w="10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5. Wzory dokumentów niezbędnych dla kwalifikacji pacjenta do leczenia w programie lekowym Leczenie pacjentów z chorobą śródmiąższową płuc (ICD-10: D86, J67.0-J67.9, J84.1, J84.8, J84.9, J99.0, J99.1, M34) 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Wzór wniosku o kwalifikację do leczenia tocilizumabem w programie Leczenie pacjentów z chorobą śródmiąższową płuc (ICD-10: D86, J67.0-J67.9, J84.1, J84.8, J84.9, J99.0, J99.1, M34)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5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Wnioskowane stosowanie tocilizumabu (w monoterapii/ w skojarzeniu z nintedanibem):…………………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NIE*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I. Dotyczy rozpoznania SSc-ILD:</w:t>
            </w: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Rozpoznanie twardziny układowej zgodnie z rekomendacjami EULAR/ACR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Spełnienie jednego z poniższych kryteriów: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zmiany włókniste w badaniu TKWR zajmują co najmniej 10% oraz udokumentowano spadek wartości FVC o co najmniej 10% lub spadek wartości FVC o co najmniej 5% i spadek TLCO a co najmniej 15% lub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b) zmiany włókniste w badaniu TKWR zajmują co najmniej 10% oraz wartość FVC stanowi &lt;70% wartości należnej lub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III. Wartość ogólnej oceny aktywności choroby przez lekarza w skali PGA &gt;1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IV. Pacjent spełnia wszystkie pozostałe kryteria kwalifikacji określone w aktualnie obowiązującym opisie programu lekowego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V. Wykonano wszystkie wymagane badania diagnostyczne przed kwalifikacją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VI. Brak przeciwwskazań do leczenia biologicznego zgodnie z ChPL i rekomendacjami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………………………………………..………………………………...............................................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tocilizumabem w programie lekowym Leczenie pacjentów z chorobą śródmiąższową płuc (ICD-10: D86, J67.0-J67.9, J84.1, J84.8, J84.9, J99.0, J99.1, M34)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tocilizumab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Przewodniczącego Zespołu Koordynacyjnego ds. Leczenia Biologicznego w Chorobach Reumatycznych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5.1 Załącznik do wniosku o zakwalifikowanie pacjenta do leczenia w programie lekowym Leczenie pacjentów z chorobą śródmiąższową płuc (ICD-10: D86, J67.0-J67.9, J84.1, J84.8, J84.9, J99.0, J99.1, M34)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tocilizumabem (w monoterapii/ w skojarzeniu z nintedanibem)*oraz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Podpis pacjenta 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lekarza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* </w:t>
            </w:r>
            <w:r>
              <w:rPr>
                <w:i w:val="1"/>
                <w:sz w:val="20"/>
              </w:rPr>
              <w:t>niepotrzebne skreślić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2026-01-20T14:04:09Z</dcterms:created>
  <cp:lastModifiedBy>Kociubowska Ewa</cp:lastModifiedBy>
  <dcterms:modified xsi:type="dcterms:W3CDTF">2026-01-28T09:43:08Z</dcterms:modified>
  <cp:revision>32</cp:revision>
  <dc:subject>zmieniające zarządzenie w sprawie określenia warunków zawierania i realizacji umów w rodzaju leczenie szpitalne w zakresie programy lekowe</dc:subject>
  <dc:title>Zarządzenie z dnia 20 stycznia 2026 r.</dc:title>
</cp:coreProperties>
</file>