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865959B" Type="http://schemas.openxmlformats.org/officeDocument/2006/relationships/officeDocument" Target="/word/document.xml" /><Relationship Id="coreR4865959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7 do zarządzenia nr 11/2026/DGL</w:t>
        <w:br w:type="textWrapping"/>
        <w:t>Prezesa Narodowego Funduszu Zdrowia</w:t>
        <w:br w:type="textWrapping"/>
        <w:t>z dnia 28 stycznia 2026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współczynników korygujących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390"/>
        </w:trPr>
        <w:tc>
          <w:tcPr>
            <w:tcW w:w="7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Lp.</w:t>
            </w:r>
          </w:p>
        </w:tc>
        <w:tc>
          <w:tcPr>
            <w:tcW w:w="382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program lekowy</w:t>
            </w:r>
          </w:p>
        </w:tc>
        <w:tc>
          <w:tcPr>
            <w:tcW w:w="380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produkt rozliczeniowy z katalogu ryczałtów, w odniesieniu do którego współczynnik korygujący może zostać zastosowany</w:t>
            </w:r>
          </w:p>
        </w:tc>
        <w:tc>
          <w:tcPr>
            <w:tcW w:w="380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świadczenie z katalogu świadczeń, w odniesieniu do którego współczynnik korygujący może zostać zastosowany</w:t>
            </w:r>
          </w:p>
        </w:tc>
        <w:tc>
          <w:tcPr>
            <w:tcW w:w="305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substancja czynna</w:t>
            </w:r>
          </w:p>
        </w:tc>
        <w:tc>
          <w:tcPr>
            <w:tcW w:w="263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próg kosztowy rozliczenia substancji czynnej uprawniający do zastosowania współczynnika korygującego</w:t>
            </w:r>
          </w:p>
        </w:tc>
        <w:tc>
          <w:tcPr>
            <w:tcW w:w="139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 współczynnika korygującego</w:t>
            </w:r>
          </w:p>
        </w:tc>
        <w:tc>
          <w:tcPr>
            <w:tcW w:w="271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78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1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1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jednostka</w:t>
            </w:r>
          </w:p>
        </w:tc>
        <w:tc>
          <w:tcPr>
            <w:tcW w:w="13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1</w:t>
            </w:r>
          </w:p>
        </w:tc>
        <w:tc>
          <w:tcPr>
            <w:tcW w:w="38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2</w:t>
            </w:r>
          </w:p>
        </w:tc>
        <w:tc>
          <w:tcPr>
            <w:tcW w:w="38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3</w:t>
            </w:r>
          </w:p>
        </w:tc>
        <w:tc>
          <w:tcPr>
            <w:tcW w:w="30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4</w:t>
            </w:r>
          </w:p>
        </w:tc>
        <w:tc>
          <w:tcPr>
            <w:tcW w:w="2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5</w:t>
            </w:r>
          </w:p>
        </w:tc>
        <w:tc>
          <w:tcPr>
            <w:tcW w:w="13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6</w:t>
            </w:r>
          </w:p>
        </w:tc>
        <w:tc>
          <w:tcPr>
            <w:tcW w:w="2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7</w:t>
            </w: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7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7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5.08.09.0000008</w:t>
            </w:r>
          </w:p>
        </w:tc>
        <w:tc>
          <w:tcPr>
            <w:tcW w:w="14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bosentanum</w:t>
            </w:r>
          </w:p>
        </w:tc>
        <w:tc>
          <w:tcPr>
            <w:tcW w:w="12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br w:type="textWrapping"/>
              <w:t>1. Współczynnik korygujący może zostać zastosowany w odniesieniu do produktu rozliczeniowego wskazanego w kolumnie 2 lub świadczenia wskazanego w kolumnie 3, rozliczanego w związku z terapią pacjentów, u których stosowana jest substancja czynna, o której mowa kolumnie 4, spełniająca warunek kosztowy określony w kolumnie 5 w przypadku każdego z podań lub wydań leku danemu pacjentowi w danym okresie.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2. Współczynnik korygujący stosuje się do rozliczenia ułamkowej części wartości produktu, o którym mowa w kolumnie 2, przysługującej za dany okres lub do świadczeń, o których mowa w kolumnie 3, wykonanych i sprawozdanych za dany okres, związanych z podaniem substancji czynnej spełniającej warunek kosztowy.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5.08.09.0000066</w:t>
            </w:r>
          </w:p>
        </w:tc>
        <w:tc>
          <w:tcPr>
            <w:tcW w:w="1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treprostinil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6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03.0000.339.02</w:t>
            </w:r>
          </w:p>
        </w:tc>
        <w:tc>
          <w:tcPr>
            <w:tcW w:w="21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5.08.09.0000011</w:t>
            </w:r>
          </w:p>
        </w:tc>
        <w:tc>
          <w:tcPr>
            <w:tcW w:w="1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cinacalcetum</w:t>
            </w:r>
          </w:p>
        </w:tc>
        <w:tc>
          <w:tcPr>
            <w:tcW w:w="12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0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7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7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 </w:t>
            </w:r>
          </w:p>
        </w:tc>
        <w:tc>
          <w:tcPr>
            <w:tcW w:w="15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4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2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6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6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6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6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2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6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03.0000.355.02</w:t>
            </w:r>
          </w:p>
        </w:tc>
        <w:tc>
          <w:tcPr>
            <w:tcW w:w="21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2,2144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0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6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03.0000.327.02</w:t>
            </w:r>
          </w:p>
        </w:tc>
        <w:tc>
          <w:tcPr>
            <w:tcW w:w="21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przewlekłych zakażeń płuc u świadczeniobiorców z mukowiscydozą</w:t>
            </w: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5.08.08.0000034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przewlekłych zakażeń płuc u świadczeniobiorców z mukowiscydozą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5.08.09.0000061</w:t>
            </w:r>
          </w:p>
        </w:tc>
        <w:tc>
          <w:tcPr>
            <w:tcW w:w="1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tobramycinum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1,70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6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7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67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4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2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20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5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6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7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67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4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2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60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6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4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5"/>
        </w:trPr>
        <w:tc>
          <w:tcPr>
            <w:tcW w:w="7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7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03.0000.375.02</w:t>
            </w:r>
          </w:p>
        </w:tc>
        <w:tc>
          <w:tcPr>
            <w:tcW w:w="21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układowymi zapaleniami naczyń</w:t>
            </w:r>
          </w:p>
        </w:tc>
        <w:tc>
          <w:tcPr>
            <w:tcW w:w="15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5.08.08.0000273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układowymi zapaleniami naczyń - 1 rok terapii (rytuksymab)</w:t>
            </w:r>
          </w:p>
        </w:tc>
        <w:tc>
          <w:tcPr>
            <w:tcW w:w="15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5.08.09.0000054</w:t>
            </w:r>
          </w:p>
        </w:tc>
        <w:tc>
          <w:tcPr>
            <w:tcW w:w="14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rytuksymabum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2,1311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5.08.08.0000274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układowymi zapaleniami naczyń - 2 i kolejny rok terapii (rytuksymab)</w:t>
            </w:r>
          </w:p>
        </w:tc>
        <w:tc>
          <w:tcPr>
            <w:tcW w:w="15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2,1311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2,1311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2,1311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2,1311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2026-01-20T14:02:37Z</dcterms:created>
  <cp:lastModifiedBy>Kociubowska Ewa</cp:lastModifiedBy>
  <dcterms:modified xsi:type="dcterms:W3CDTF">2026-01-28T09:43:08Z</dcterms:modified>
  <cp:revision>32</cp:revision>
  <dc:subject>zmieniające zarządzenie w sprawie określenia warunków zawierania i realizacji umów w rodzaju leczenie szpitalne w zakresie programy lekowe</dc:subject>
  <dc:title>Zarządzenie z dnia 20 stycznia 2026 r.</dc:title>
</cp:coreProperties>
</file>