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3BEFB60" Type="http://schemas.openxmlformats.org/officeDocument/2006/relationships/officeDocument" Target="/word/document.xml" /><Relationship Id="coreR23BEFB6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11 do zarządzenia nr 11/2026/DGL</w:t>
        <w:br w:type="textWrapping"/>
        <w:t>Prezesa Narodowego Funduszu Zdrowia</w:t>
        <w:br w:type="textWrapping"/>
        <w:t>z dnia 28 stycznia 2026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i weryfikację skuteczności leczenia nocnej napadowej hemoglobinurii (PNH)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168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7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i weryfikacja skuteczności leczenia nocnej napadowej hemoglobinurii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weryfikacją leczenia przez zespół koordynacyjny</w:t>
            </w:r>
          </w:p>
        </w:tc>
        <w:tc>
          <w:tcPr>
            <w:tcW w:w="7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z nocną napadową hemoglobinurią (PNH)</w:t>
            </w:r>
          </w:p>
        </w:tc>
      </w:tr>
      <w:tr>
        <w:tblPrEx>
          <w:tblW w:w="5000" w:type="pct"/>
          <w:tblLayout w:type="fixed"/>
        </w:tblPrEx>
        <w:trPr>
          <w:trHeight w:hRule="atLeast" w:val="437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7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 59.5 - Nocna napadowa hemoglobinuria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7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7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do Spraw Leczenia Nocnej Napadowej Hemoglobinurii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7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Instytut Matki i Dziecka</w:t>
            </w:r>
          </w:p>
          <w:p>
            <w:pPr>
              <w:jc w:val="left"/>
            </w:pPr>
            <w:r>
              <w:rPr>
                <w:sz w:val="20"/>
              </w:rPr>
              <w:t>01-211 Warszawa</w:t>
            </w:r>
          </w:p>
          <w:p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7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>
        <w:tblPrEx>
          <w:tblW w:w="5000" w:type="pct"/>
          <w:tblLayout w:type="fixed"/>
        </w:tblPrEx>
        <w:trPr>
          <w:trHeight w:hRule="atLeast" w:val="1121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weryfikacji skuteczności leczenia chorych wymagających udzielenia świadczenia</w:t>
            </w:r>
          </w:p>
        </w:tc>
        <w:tc>
          <w:tcPr>
            <w:tcW w:w="7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i weryfikacji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 xml:space="preserve">2) kwalifikacja i weryfikacja skuteczności leczenia ekulizumabem w zakresie nocnej napadowej hemoglobinurii (PNH) dokonywana jest w oparciu o wnioski przedłożone za pośrednictwem elektronicznego systemu monitorowania programów lekowych lub w oparciu o wnioski określone w pkt. 2 </w:t>
            </w:r>
          </w:p>
        </w:tc>
      </w:tr>
      <w:tr>
        <w:tblPrEx>
          <w:tblW w:w="5000" w:type="pct"/>
          <w:tblLayout w:type="fixed"/>
        </w:tblPrEx>
        <w:trPr>
          <w:trHeight w:hRule="atLeast" w:val="552"/>
        </w:trPr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7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2. Wzory dokumentów niezbędnych dla kwalifikacji pacjenta do leczenia w programie lekowym Leczenie chorych z nocną napadową hemoglobinurią (PNH) </w:t>
            </w:r>
          </w:p>
        </w:tc>
      </w:tr>
      <w:tr>
        <w:tblPrEx>
          <w:tblW w:w="5000" w:type="pct"/>
          <w:tblLayout w:type="fixed"/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Wniosek o zakwalifikowanie pacjenta do leczenia w programie lekowym Leczenie chorych z nocną napadową hemoglobinurią (PNH) – iptakopan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gridAfter w:val="1"/>
          <w:wAfter w:w="760" w:type="dxa"/>
          <w:trHeight w:hRule="atLeast" w:val="540"/>
        </w:trPr>
        <w:tc>
          <w:tcPr>
            <w:tcW w:w="47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5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  <w:tr>
        <w:tblPrEx>
          <w:tblW w:w="5000" w:type="pct"/>
          <w:tblLayout w:type="fixed"/>
        </w:tblPrEx>
        <w:trPr>
          <w:gridAfter w:val="1"/>
          <w:wAfter w:w="760" w:type="dxa"/>
          <w:trHeight w:hRule="atLeast" w:val="540"/>
        </w:trPr>
        <w:tc>
          <w:tcPr>
            <w:tcW w:w="47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Nr pacjenta w systemie SMPT:</w:t>
            </w:r>
          </w:p>
        </w:tc>
        <w:tc>
          <w:tcPr>
            <w:tcW w:w="45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91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91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kwalifikacji pacjenta leczonego wcześniej substancjami czynnymi finansowanymi w programie lekowym w ramach innego sposobu finansowania terapii proszę podać: sposób finasowania…………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 z nr tel. kontaktowym i adresem e-mail: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>Nazwa badania</w:t>
            </w:r>
          </w:p>
        </w:tc>
        <w:tc>
          <w:tcPr>
            <w:tcW w:w="5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Wynik badania </w:t>
            </w:r>
          </w:p>
          <w:p>
            <w:pPr>
              <w:jc w:val="left"/>
            </w:pPr>
            <w:r>
              <w:rPr>
                <w:b w:val="1"/>
              </w:rPr>
              <w:t>(zgodnie z opisem programu lekowego)</w:t>
            </w:r>
          </w:p>
          <w:p>
            <w:pPr>
              <w:jc w:val="left"/>
            </w:pPr>
            <w:r>
              <w:t>- do wniosku można dołączyć kopię wyników badań</w:t>
            </w: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badanie erytrocytów, granulocytów oraz monocytów w cytometrze przepływowym pod katem obecności klonu PNH</w:t>
            </w:r>
          </w:p>
        </w:tc>
        <w:tc>
          <w:tcPr>
            <w:tcW w:w="5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aktywność dehydrogenazy mleczanowej (LDH)</w:t>
            </w:r>
          </w:p>
        </w:tc>
        <w:tc>
          <w:tcPr>
            <w:tcW w:w="5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morfologia krwi obwodowej z rozmazem</w:t>
            </w:r>
          </w:p>
        </w:tc>
        <w:tc>
          <w:tcPr>
            <w:tcW w:w="5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ocena liczby retikulocytów</w:t>
            </w:r>
          </w:p>
        </w:tc>
        <w:tc>
          <w:tcPr>
            <w:tcW w:w="5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czas częściowej tromboplastyny po aktywacji (APTT)</w:t>
            </w:r>
          </w:p>
        </w:tc>
        <w:tc>
          <w:tcPr>
            <w:tcW w:w="5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czas protrombinowy (PT)</w:t>
            </w:r>
          </w:p>
        </w:tc>
        <w:tc>
          <w:tcPr>
            <w:tcW w:w="5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fibrynogen</w:t>
            </w:r>
          </w:p>
        </w:tc>
        <w:tc>
          <w:tcPr>
            <w:tcW w:w="5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bezpośredni test antyglobulinowy (BTA)</w:t>
            </w:r>
          </w:p>
        </w:tc>
        <w:tc>
          <w:tcPr>
            <w:tcW w:w="5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oznaczenie grupy krwi</w:t>
            </w:r>
          </w:p>
        </w:tc>
        <w:tc>
          <w:tcPr>
            <w:tcW w:w="5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kreatyniny w surowicy krwi</w:t>
            </w:r>
          </w:p>
        </w:tc>
        <w:tc>
          <w:tcPr>
            <w:tcW w:w="5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mocznika w surowicy krwi</w:t>
            </w:r>
          </w:p>
        </w:tc>
        <w:tc>
          <w:tcPr>
            <w:tcW w:w="5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aktywność aminotransferazy alaninowej (AlAT);</w:t>
            </w:r>
          </w:p>
        </w:tc>
        <w:tc>
          <w:tcPr>
            <w:tcW w:w="5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bilirubiny całkowitej i bezpośredniej w surowicy krwi</w:t>
            </w:r>
          </w:p>
        </w:tc>
        <w:tc>
          <w:tcPr>
            <w:tcW w:w="5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haptoglobiny (Hp) w surowicy krwi</w:t>
            </w:r>
          </w:p>
        </w:tc>
        <w:tc>
          <w:tcPr>
            <w:tcW w:w="5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sodu w surowicy krwi</w:t>
            </w:r>
          </w:p>
        </w:tc>
        <w:tc>
          <w:tcPr>
            <w:tcW w:w="5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potasu w surowicy krwi</w:t>
            </w:r>
          </w:p>
        </w:tc>
        <w:tc>
          <w:tcPr>
            <w:tcW w:w="5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badanie ogólne moczu</w:t>
            </w:r>
          </w:p>
        </w:tc>
        <w:tc>
          <w:tcPr>
            <w:tcW w:w="5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1"/>
        </w:trPr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test ciążowy u kobiet w wieku rozrodczym</w:t>
            </w:r>
          </w:p>
        </w:tc>
        <w:tc>
          <w:tcPr>
            <w:tcW w:w="5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1"/>
        </w:trPr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badania obrazowe naczyń w przypadku podejrzenia zakrzepicy żylnej lub tętniczej lub incydentów zatorowych w zależności od umiejscowienia: ultrasonogram (USG) lub tomografia komputerowa (TK) lub magnetyczny rezonans jądrowy (MRI)</w:t>
            </w:r>
          </w:p>
        </w:tc>
        <w:tc>
          <w:tcPr>
            <w:tcW w:w="5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Informacje o spełnieniu kryteriów kwalifikacji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- zgodnie z opisem programu lekowego – proszę uzupełnić właściwe pole lub wpisać nie dotyczy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Leczenie iptakopanem - chorzy nieleczeni uprzednio inhibitorem C5: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Zdiagnozowana nocna napadowa hemoglobinuria z obecnością klonu PNH &gt;1% oznaczonego w badaniu cytometrii przepływowej i co najmniej jeden z poniższych: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objawy hemolizy związane z PNH oraz (łącznie):</w:t>
            </w:r>
          </w:p>
          <w:p>
            <w:pPr>
              <w:jc w:val="both"/>
            </w:pPr>
            <w:r>
              <w:t>• aktywność dehydrogenazy mleczanowej (LDH) ≥1,5 przekraczająca górną granicę normy (GGN),</w:t>
            </w:r>
          </w:p>
          <w:p>
            <w:pPr>
              <w:jc w:val="both"/>
            </w:pPr>
            <w:r>
              <w:t>• niedokrwistość (stężenie hemoglobiny &lt;10 g/dL);</w:t>
            </w:r>
          </w:p>
          <w:p>
            <w:pPr>
              <w:jc w:val="both"/>
            </w:pPr>
            <w:r>
              <w:t xml:space="preserve">• co najmniej jedno z powikłań związanych z hemolizą: </w:t>
            </w:r>
          </w:p>
          <w:p>
            <w:pPr>
              <w:jc w:val="both"/>
            </w:pPr>
            <w:r>
              <w:t>- niewydolność nerek,</w:t>
            </w:r>
          </w:p>
          <w:p>
            <w:pPr>
              <w:jc w:val="both"/>
            </w:pPr>
            <w:r>
              <w:t>- nadciśnienie płucne,</w:t>
            </w:r>
          </w:p>
          <w:p>
            <w:pPr>
              <w:jc w:val="both"/>
            </w:pPr>
            <w:r>
              <w:t>- znaczne zmęczenie ocenione wg FACIT upośledzające codzienną aktywność;</w:t>
            </w:r>
          </w:p>
          <w:p>
            <w:pPr>
              <w:jc w:val="both"/>
            </w:pPr>
            <w:r>
              <w:t>upośledzające codzienną aktywność;</w:t>
            </w:r>
          </w:p>
          <w:p>
            <w:pPr>
              <w:jc w:val="both"/>
            </w:pPr>
            <w:r>
              <w:t>b) zakrzepica lub poważne zdarzenie naczyniowe w tym:</w:t>
            </w:r>
          </w:p>
          <w:p>
            <w:pPr>
              <w:jc w:val="both"/>
            </w:pPr>
            <w:r>
              <w:t>• zakrzepowe zapalenie żył głębokich/zakrzepica żył głębokich,</w:t>
            </w:r>
          </w:p>
          <w:p>
            <w:pPr>
              <w:jc w:val="both"/>
            </w:pPr>
            <w:r>
              <w:t>• zator tętnicy płucnej,</w:t>
            </w:r>
          </w:p>
          <w:p>
            <w:pPr>
              <w:jc w:val="both"/>
            </w:pPr>
            <w:r>
              <w:t>• zdarzenia mózgowo-naczyniowe,</w:t>
            </w:r>
          </w:p>
          <w:p>
            <w:pPr>
              <w:jc w:val="both"/>
            </w:pPr>
            <w:r>
              <w:t>• amputacja,</w:t>
            </w:r>
          </w:p>
          <w:p>
            <w:pPr>
              <w:jc w:val="both"/>
            </w:pPr>
            <w:r>
              <w:t>• zawał mięśnia sercowego,</w:t>
            </w:r>
          </w:p>
          <w:p>
            <w:pPr>
              <w:jc w:val="both"/>
            </w:pPr>
            <w:r>
              <w:t>• napad przemijającego niedokrwienia,</w:t>
            </w:r>
          </w:p>
          <w:p>
            <w:pPr>
              <w:jc w:val="both"/>
            </w:pPr>
            <w:r>
              <w:t>• niestabilna dławica piersiowa,</w:t>
            </w:r>
          </w:p>
          <w:p>
            <w:pPr>
              <w:jc w:val="both"/>
            </w:pPr>
            <w:r>
              <w:t>• zakrzepica żyły nerkowej,</w:t>
            </w:r>
          </w:p>
          <w:p>
            <w:pPr>
              <w:jc w:val="both"/>
            </w:pPr>
            <w:r>
              <w:t>• zakrzepica żył krezkowych,</w:t>
            </w:r>
          </w:p>
          <w:p>
            <w:pPr>
              <w:jc w:val="both"/>
            </w:pPr>
            <w:r>
              <w:t>• zakrzepica żyły wrotnej,</w:t>
            </w:r>
          </w:p>
          <w:p>
            <w:pPr>
              <w:jc w:val="both"/>
            </w:pPr>
            <w:r>
              <w:t>• zgorzel,</w:t>
            </w:r>
          </w:p>
          <w:p>
            <w:pPr>
              <w:jc w:val="both"/>
            </w:pPr>
            <w:r>
              <w:t>• ostre zamknięcia naczyń obwodowych;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Uwagi:</w:t>
            </w:r>
          </w:p>
          <w:p/>
          <w:p/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Leczenie iptakopanem - chorzy po terapii inhibitorem C5: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Zdiagnozowana nocna napadowa hemoglobinuria z obecnością klonu PNH &gt;1% oznaczonego w badaniu cytometrii przepływowej;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Obecność niedokrwistości (stężenie hemoglobiny &lt;10 g/dL) w trakcie leczenia inhibitorem C5 (ekulizumabem lub rawulizumabem) przez co najmniej 3 ostatnie miesiące;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Uwagi:</w:t>
            </w:r>
          </w:p>
          <w:p/>
          <w:p/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Informacja o szczepieniach i profilaktyka antybiotykowa: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Dodatkowe informacje wynikające z opisu programu lekowego tj.: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w przypadku kobiet wymagana jest zgoda na świadomą kontrolę urodzeń, zgodnie z aktualną Charakterystyką Produktu Leczniczego (zwanej dalej ChPL) leku, którym odbywa się leczenie w programie lekowym;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nieobecność istotnych schorzeń współistniejących stanowiących przeciwskazanie do terapii stwierdzonych przez lekarza prowadzącego w oparciu o aktualną ChPL;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brak przeciwwskazań do stosowania określonej w aktualnej ChPL substancji czynnej ujętej w programie lekowym.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Proszę odnieść się do powyższych kryteriów: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7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Data: …………………………</w:t>
            </w:r>
          </w:p>
        </w:tc>
        <w:tc>
          <w:tcPr>
            <w:tcW w:w="530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……………..………………………………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24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30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8"/>
              </w:rPr>
              <w:t>nadruk lub pieczątka zawierające imię i nazwisko lekarza, numer prawa wykonywania zawodu oraz jego podpis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Wniosek o ocenę efektu leczenia weryfikowanego po 3 miesiącach/ kontynuację leczenia pacjenta w programie lekowym Leczenie chorych z nocną napadową hemoglobinurią (PNH) iptakopanem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skierowanie wniosku do Zespołu Koordynacyjnego zgodnie z kryteriami określonymi w opisie programu lekowego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4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56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4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  <w:tc>
          <w:tcPr>
            <w:tcW w:w="56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4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Nr pacjenta w systemie SMPT</w:t>
            </w:r>
          </w:p>
        </w:tc>
        <w:tc>
          <w:tcPr>
            <w:tcW w:w="56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4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Wiek pacjenta</w:t>
            </w:r>
          </w:p>
        </w:tc>
        <w:tc>
          <w:tcPr>
            <w:tcW w:w="56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4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wystawienia wniosku</w:t>
            </w:r>
          </w:p>
        </w:tc>
        <w:tc>
          <w:tcPr>
            <w:tcW w:w="56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4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Świadczeniodawca wystawiający wniosek z nr tel kontaktowym i adresem e-mail</w:t>
            </w:r>
          </w:p>
        </w:tc>
        <w:tc>
          <w:tcPr>
            <w:tcW w:w="56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gridAfter w:val="1"/>
          <w:wAfter w:w="60" w:type="dxa"/>
        </w:trPr>
        <w:tc>
          <w:tcPr>
            <w:tcW w:w="1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0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gridAfter w:val="1"/>
          <w:wAfter w:w="60" w:type="dxa"/>
        </w:trPr>
        <w:tc>
          <w:tcPr>
            <w:tcW w:w="1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0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>Nazwa badania</w:t>
            </w:r>
          </w:p>
        </w:tc>
        <w:tc>
          <w:tcPr>
            <w:tcW w:w="50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Wynik badania </w:t>
            </w:r>
          </w:p>
          <w:p>
            <w:pPr>
              <w:jc w:val="left"/>
            </w:pPr>
            <w:r>
              <w:t>- do wniosku można dołączyć kopię wyników badań</w:t>
            </w: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badanie obecności klonów PNH w cytometrze przepływowym (6 miesięcy po rozpoczęciu leczenia i następne co 6 miesięcy)</w:t>
            </w:r>
          </w:p>
        </w:tc>
        <w:tc>
          <w:tcPr>
            <w:tcW w:w="50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aktywność dehydrogenazy mleczanowej (LDH)</w:t>
            </w:r>
          </w:p>
        </w:tc>
        <w:tc>
          <w:tcPr>
            <w:tcW w:w="50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morfologia krwi z rozmazem </w:t>
            </w:r>
          </w:p>
        </w:tc>
        <w:tc>
          <w:tcPr>
            <w:tcW w:w="50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kreatyniny w surowicy krwi</w:t>
            </w:r>
          </w:p>
        </w:tc>
        <w:tc>
          <w:tcPr>
            <w:tcW w:w="50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mocznika w surowicy krwi</w:t>
            </w:r>
          </w:p>
        </w:tc>
        <w:tc>
          <w:tcPr>
            <w:tcW w:w="50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aktywność aminotransferazy alaninowej (AlAT)</w:t>
            </w:r>
          </w:p>
        </w:tc>
        <w:tc>
          <w:tcPr>
            <w:tcW w:w="50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bilirubiny całkowitej</w:t>
            </w:r>
          </w:p>
        </w:tc>
        <w:tc>
          <w:tcPr>
            <w:tcW w:w="50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Aplazja szpiku</w:t>
            </w:r>
          </w:p>
        </w:tc>
        <w:tc>
          <w:tcPr>
            <w:tcW w:w="50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 / Nie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skuteczności zastosowanej terapii po 3 miesiącach terapii: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Dodatkowe informacje: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7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Data: …………………………</w:t>
            </w:r>
          </w:p>
        </w:tc>
        <w:tc>
          <w:tcPr>
            <w:tcW w:w="530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……………..………………………………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24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30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8"/>
              </w:rPr>
              <w:t>nadruk lub pieczątka zawierające imię i nazwisko lekarza, numer prawa wykonywania zawodu oraz jego podpis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w programie lekowym Leczenie chorych z nocną napadową hemoglobinurią (PNH)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Nocnej Napadowej Hemoglobinurii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iptakopan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Pozytywna/Negatywna/Przerwanie terapii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 ds. Leczenia Nocnej Napadowej Hemoglobinurii</w:t>
            </w: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Dodatkowe informacje: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lekowym Leczenie chorych z nocną napadową hemoglobinurią (PNH)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oraz zobowiązuję się do przyjmowania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 xml:space="preserve">Data </w:t>
            </w:r>
          </w:p>
        </w:tc>
        <w:tc>
          <w:tcPr>
            <w:tcW w:w="75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center"/>
            </w:pPr>
            <w:r>
              <w:rPr>
                <w:i w:val="1"/>
                <w:sz w:val="20"/>
              </w:rPr>
              <w:t>Podpis pacjenta (w przypadku dziecka podpis rodziców lub opiekuna)</w:t>
            </w:r>
          </w:p>
        </w:tc>
      </w:tr>
      <w:tr>
        <w:tblPrEx>
          <w:tblW w:w="5000" w:type="pct"/>
          <w:tblLayout w:type="fixed"/>
        </w:tblPrEx>
        <w:tc>
          <w:tcPr>
            <w:tcW w:w="2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20"/>
              </w:rPr>
              <w:t xml:space="preserve">Data </w:t>
            </w:r>
          </w:p>
        </w:tc>
        <w:tc>
          <w:tcPr>
            <w:tcW w:w="75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center"/>
            </w:pPr>
            <w:r>
              <w:rPr>
                <w:i w:val="1"/>
                <w:sz w:val="20"/>
              </w:rPr>
              <w:t>Podpis lekarza</w:t>
            </w:r>
          </w:p>
        </w:tc>
      </w:tr>
      <w:tr>
        <w:tblPrEx>
          <w:tblW w:w="5000" w:type="pct"/>
          <w:tblLayout w:type="fixed"/>
        </w:tblPrEx>
        <w:tc>
          <w:tcPr>
            <w:tcW w:w="2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2026-01-20T14:17:04Z</dcterms:created>
  <cp:lastModifiedBy>Kociubowska Ewa</cp:lastModifiedBy>
  <dcterms:modified xsi:type="dcterms:W3CDTF">2026-01-28T09:43:08Z</dcterms:modified>
  <cp:revision>29</cp:revision>
  <dc:subject>zmieniające zarządzenie w sprawie określenia warunków zawierania i realizacji umów w rodzaju leczenie szpitalne w zakresie programy lekowe</dc:subject>
  <dc:title>Zarządzenie z dnia 20 stycznia 2026 r.</dc:title>
</cp:coreProperties>
</file>