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C0A0AF2" Type="http://schemas.openxmlformats.org/officeDocument/2006/relationships/officeDocument" Target="/word/document.xml" /><Relationship Id="coreR5C0A0AF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8 do zarządzenia nr 101/2025/DSOZ</w:t>
        <w:br w:type="textWrapping"/>
        <w:t>Prezesa Narodowego Funduszu Zdrowia</w:t>
        <w:br w:type="textWrapping"/>
        <w:t>z dnia 23 grudnia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SKALA CIĘŻKOŚCI ZATRUĆ (POISONING SEVERITY SCORE) – PSS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1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Układ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BEZ OBJAWÓW</w:t>
            </w: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LEKKIE</w:t>
            </w: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ŚREDNIE</w:t>
            </w: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CIĘŻKIE</w:t>
            </w:r>
          </w:p>
        </w:tc>
      </w:tr>
      <w:tr>
        <w:tblPrEx>
          <w:tblW w:w="5000" w:type="pct"/>
          <w:tblLayout w:type="fixed"/>
        </w:tblPrEx>
        <w:tc>
          <w:tcPr>
            <w:tcW w:w="1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0</w:t>
            </w: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1</w:t>
            </w: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2</w:t>
            </w: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3</w:t>
            </w:r>
          </w:p>
        </w:tc>
      </w:tr>
      <w:tr>
        <w:tblPrEx>
          <w:tblW w:w="5000" w:type="pct"/>
          <w:tblLayout w:type="fixed"/>
        </w:tblPrEx>
        <w:tc>
          <w:tcPr>
            <w:tcW w:w="1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Brak objawów przedmiotowych i podmiotowych</w:t>
            </w: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Objawy nieznaczne, przemijające i spontanicznie ustępujące</w:t>
            </w: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Objawy nasilone i przedłużające się</w:t>
            </w: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Objawy ciężkie i zagrażające życiu</w:t>
            </w:r>
          </w:p>
        </w:tc>
      </w:tr>
      <w:tr>
        <w:tblPrEx>
          <w:tblW w:w="5000" w:type="pct"/>
          <w:tblLayout w:type="fixed"/>
        </w:tblPrEx>
        <w:tc>
          <w:tcPr>
            <w:tcW w:w="1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Przewód pokarmowy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Nudności, wymioty, biegunka, ból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Podrażnienie, 1 stopień oparzenia, minimalne owrzodzenia w jamie ustnej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Endoskopia: rumień, obrzęk</w:t>
            </w: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Nasilone lub przedłużające się wymioty, biegunka, ból; niedrożność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1 stopień oparzenia o krytycznej lokalizacji albo 2 i 3 stopień oparzenia o ograniczonej lokalizacji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Dysfagia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Endoskopia: owrzodzenia obejmujące cały przekrój śluzówki</w:t>
            </w: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Masywne krwawienie, perforacja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 xml:space="preserve">Znacznie rozprzestrzenione oparzenia 2 i 3 stopnia 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Ciężka dysfagia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Endoskopia: owrzodzenia obejmujące całą grubość ściany, tkanki otaczające, perforacja</w:t>
            </w:r>
          </w:p>
        </w:tc>
      </w:tr>
      <w:tr>
        <w:tblPrEx>
          <w:tblW w:w="5000" w:type="pct"/>
          <w:tblLayout w:type="fixed"/>
        </w:tblPrEx>
        <w:tc>
          <w:tcPr>
            <w:tcW w:w="1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Układ oddechowy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Podrażnienie, kaszel, „krótki oddech”, niewielka duszność, niewielki skurcz oskrzeli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Rtg klatki piersiowej: nieprawidłowy z niewielkimi lub brakiem objawów</w:t>
            </w: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Przedłużający się kaszel, skurcz oskrzeli, duszność, stridor, hipoksemia - wymagająca tlenoterapii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Rtg klatki piersiowej: nieprawidłowy z umiarkowanymi objawami klinicznymi</w:t>
            </w: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Jawna niewydolność oddechowa (ciężki stan spastyczny oskrzeli, zwężenie dróg oddechowych, obrzęk głośni, obrzęk płuc, ARDS, „pneumonitis”, zapalenie płuc, odma opłucnowa)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Rtg klatki piersiowej: nieprawidłowy z ciężkimi objawami klinicznymi</w:t>
            </w:r>
          </w:p>
        </w:tc>
      </w:tr>
      <w:tr>
        <w:tblPrEx>
          <w:tblW w:w="5000" w:type="pct"/>
          <w:tblLayout w:type="fixed"/>
        </w:tblPrEx>
        <w:trPr>
          <w:trHeight w:hRule="atLeast" w:val="2208"/>
        </w:trPr>
        <w:tc>
          <w:tcPr>
            <w:tcW w:w="1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Układ nerwowy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Senność, zawroty głowy, szum w uszach, zaburzenia równowagi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Niepokój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Nieznaczne objawy pozapiramidowe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Nieznaczne objawy cholinergiczne lub antycholinergiczne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Parestezje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Nieznaczne zaburzenia widzenia lub słuchu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Oczopląs</w:t>
            </w: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Nieprzytomny, z prawidłową reakcją na ból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Krótkotrwały bezdech, bradypnoe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Splątanie, podniecenie, halucynacje, delirium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Rzadkie, uogólnione lub częściowe drgawki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Nasilone objawy pozapiramidowe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Nasilone objawy cholinergiczne lub antycholinergiczne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Ograniczone niedowłady nie zaburzające funkcji życiowych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Zaburzenia widzenia i słuchu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Mioklonie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Przedłużający się oczopląs</w:t>
            </w: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Głęboka śpiączka z nieprawidłową odpowiedzią na bodźce bólowe lub brakiem odpowiedzi na ból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Depresja oddechowa z niewydolnością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Skrajne pobudzenie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Częste, uogólnione drgawki, stan padaczkowy, opistotonus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Uogólniony niedowład lub niedowład zaburzający funkcje życiowe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Nie widzi, nie słyszy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Odruchy i objawy patologiczne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Anizokoria</w:t>
            </w:r>
          </w:p>
        </w:tc>
      </w:tr>
      <w:tr>
        <w:tblPrEx>
          <w:tblW w:w="5000" w:type="pct"/>
          <w:tblLayout w:type="fixed"/>
        </w:tblPrEx>
        <w:tc>
          <w:tcPr>
            <w:tcW w:w="1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Układ sercowo-naczyniowy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Pojedyncze skurcze dodatkowe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Nieznaczna i przemijająca hipo/ hipertensja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Bradykardia zatokowa (HR 50-60 u dorosłych , 80-90 u niemowląt i dzieci, 90-100 u noworodków)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Tachykardia zatokowa (HR 120-140 u dorosłych, 130-160 u niemowląt i dzieci, 140-160 u noworodków)</w:t>
            </w: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Bradykardia zatokowa (HR 40-50 u dorosłych, 60-80 u niemowląt i dzieci, 80-90 u noworodków)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Tachykardia zatokowa (HR 140-160 u dorosłych, 160-190 u niemowląt i dzieci, 160-200 u noworodków)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Powtarzające się skurcze dodatkowe, migotanie/ trzepotanie przedsionków, blok AV I-II stopnia, przedłużenie czasu QRS i QT, zaburzenia repolaryzacji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Niedokrwienie mięśnia sercowego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Bardziej nasilona hipo/ hipertensja</w:t>
            </w: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Znaczna bradykardia zatokowa (HR&lt;40 u dorosłych, &lt;60 u niemowląt, &lt; 80 u noworodków)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Znaczna tachykardia zatokowa (HR &gt;160 u dorosłych, &gt;190 u niemowląt i dzieci, &gt;200 u noworodków)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Zagrażające życiu komorowe zaburzenia rytmu, blok AV III stopnia, asystolia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Zawał mięśnia sercowego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Wstrząs, przełom nadciśnieniowy</w:t>
            </w:r>
          </w:p>
        </w:tc>
      </w:tr>
      <w:tr>
        <w:tblPrEx>
          <w:tblW w:w="5000" w:type="pct"/>
          <w:tblLayout w:type="fixed"/>
        </w:tblPrEx>
        <w:tc>
          <w:tcPr>
            <w:tcW w:w="1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Równowaga metaboliczna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Niewielkie zaburzenia równowagi kwasowo-zasadowej (HCO</w:t>
            </w:r>
            <w:r>
              <w:rPr>
                <w:sz w:val="16"/>
                <w:vertAlign w:val="subscript"/>
              </w:rPr>
              <w:t>3</w:t>
            </w:r>
            <w:r>
              <w:rPr>
                <w:b w:val="1"/>
                <w:sz w:val="16"/>
                <w:vertAlign w:val="superscript"/>
              </w:rPr>
              <w:t>-</w:t>
            </w:r>
            <w:r>
              <w:rPr>
                <w:sz w:val="16"/>
              </w:rPr>
              <w:t xml:space="preserve"> 15-20 lub 30-40 mmol/l, pH 7.25-7.32 lub 7.50-7.59)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Niewielkie zaburzenia równowagi wodno-elektrolitowej (K</w:t>
            </w:r>
            <w:r>
              <w:rPr>
                <w:sz w:val="16"/>
                <w:vertAlign w:val="superscript"/>
              </w:rPr>
              <w:t>+</w:t>
            </w:r>
            <w:r>
              <w:rPr>
                <w:sz w:val="16"/>
              </w:rPr>
              <w:t xml:space="preserve"> 3.0-3.4 lub 5.2-5.9 mmol/l)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Niewielka hipoglikemia ( 50-70 mg/dl lub 2.8-3.9 mmol/l u dorosłych)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Krótkotrwała hipertermia</w:t>
            </w: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Bardziej nasilone zaburzenia równowagi kwasowo-zasadowej (HCO</w:t>
            </w:r>
            <w:r>
              <w:rPr>
                <w:sz w:val="16"/>
                <w:vertAlign w:val="subscript"/>
              </w:rPr>
              <w:t>3</w:t>
            </w:r>
            <w:r>
              <w:rPr>
                <w:b w:val="1"/>
                <w:sz w:val="16"/>
                <w:vertAlign w:val="superscript"/>
              </w:rPr>
              <w:t xml:space="preserve">- </w:t>
            </w:r>
            <w:r>
              <w:rPr>
                <w:sz w:val="16"/>
              </w:rPr>
              <w:t>10-14 lub &gt;40 mmol/l, pH 7.15-7.24 lub 7.60-7.69)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Bardziej nasilone zaburzenia równowagi wodno-elektrolitowej (K</w:t>
            </w:r>
            <w:r>
              <w:rPr>
                <w:sz w:val="16"/>
                <w:vertAlign w:val="superscript"/>
              </w:rPr>
              <w:t>+</w:t>
            </w:r>
            <w:r>
              <w:rPr>
                <w:sz w:val="16"/>
              </w:rPr>
              <w:t xml:space="preserve"> 2.5-2.9 lub 6.0-6.9 mmol/l)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Bardziej nasilona hipoglikemia (30-50 mg/dl lub 1.7-2.8 mmol/l u dorosłych)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Hipertermia dłużej trwająca</w:t>
            </w: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Ciężkie zaburzenia równowagi kwasowo-zasadowej (HCO</w:t>
            </w:r>
            <w:r>
              <w:rPr>
                <w:sz w:val="16"/>
                <w:vertAlign w:val="subscript"/>
              </w:rPr>
              <w:t>3</w:t>
            </w:r>
            <w:r>
              <w:rPr>
                <w:b w:val="1"/>
                <w:sz w:val="16"/>
                <w:vertAlign w:val="superscript"/>
              </w:rPr>
              <w:t>-</w:t>
            </w:r>
            <w:r>
              <w:rPr>
                <w:sz w:val="16"/>
              </w:rPr>
              <w:t xml:space="preserve"> &lt;10 mmol/l, pH 7.15 lub &gt; 7.7)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Ciężkie zaburzenia równowagi wodno-elektrolitowej (K</w:t>
            </w:r>
            <w:r>
              <w:rPr>
                <w:sz w:val="16"/>
                <w:vertAlign w:val="superscript"/>
              </w:rPr>
              <w:t>+</w:t>
            </w:r>
            <w:r>
              <w:rPr>
                <w:sz w:val="16"/>
              </w:rPr>
              <w:t xml:space="preserve"> &lt;2.5 lub &gt;7.0 mmol/l)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Ciężka hipoglikemia(&lt;30 mg/dl lub 1.7 mmol/l u dorosłych)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Niebezpieczna hipo lub hipertermia</w:t>
            </w:r>
          </w:p>
        </w:tc>
      </w:tr>
      <w:tr>
        <w:tblPrEx>
          <w:tblW w:w="5000" w:type="pct"/>
          <w:tblLayout w:type="fixed"/>
        </w:tblPrEx>
        <w:tc>
          <w:tcPr>
            <w:tcW w:w="1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Wątroba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Niewielki wzrost aktywności enzymów (AspAT, AlAT 2-5 x norma)</w:t>
            </w: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Wzrost aktywności enzymów (AspAT, AlAT 5-50 x norma), ale bez biochemicznych (amoniak, czynniki krzepnięcia) i klinicznych objawów dysfunkcji wątroby</w:t>
            </w: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Wzrost aktywności enzymów (AspAT, AlAT &gt; 50 x norma) lub biochemiczne (amoniak, czynniki krzepnięcia) i kliniczne objawy niewydolności wątroby</w:t>
            </w:r>
          </w:p>
        </w:tc>
      </w:tr>
      <w:tr>
        <w:tblPrEx>
          <w:tblW w:w="5000" w:type="pct"/>
          <w:tblLayout w:type="fixed"/>
        </w:tblPrEx>
        <w:tc>
          <w:tcPr>
            <w:tcW w:w="1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Nerki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Nieznaczny białkomocz/ krwiomocz</w:t>
            </w: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Masywny białkomocz/ krwiomocz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Dysfunkcja nerek (oliguria, poliuria, stężenie kreatyniny w surowicy 200-500 mol/l))</w:t>
            </w: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Niewydolność nerek (anuria, stężenie kreatyniny w surowicy &gt;500 mol/L))</w:t>
            </w:r>
          </w:p>
        </w:tc>
      </w:tr>
      <w:tr>
        <w:tblPrEx>
          <w:tblW w:w="5000" w:type="pct"/>
          <w:tblLayout w:type="fixed"/>
        </w:tblPrEx>
        <w:tc>
          <w:tcPr>
            <w:tcW w:w="1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Krew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Niewielka hemoliza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Niewielka methemoglobinemia (MetHb 10-30%)</w:t>
            </w: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Hemoliza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Bardziej nasilona methemoglobinemia (MetHb 30-50 %)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Nieprawidłowe parametry krzepnięcia bez cech krwawienia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Anemia, leukopenia, trombocytopenia</w:t>
            </w: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Masywna hemoliza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Ciężka methemoglobinemia (MetHb &gt;50%)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Nieprawidłowe parametry krzepnięcia z jawną skazą krwotoczną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Ciężka anemia, leukopenia, trombocytopenia</w:t>
            </w:r>
          </w:p>
        </w:tc>
      </w:tr>
      <w:tr>
        <w:tblPrEx>
          <w:tblW w:w="5000" w:type="pct"/>
          <w:tblLayout w:type="fixed"/>
        </w:tblPrEx>
        <w:tc>
          <w:tcPr>
            <w:tcW w:w="1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Układ mięśniowy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Nieznaczny ból, nadwrażliwość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CPK 250-1500 IU/l</w:t>
            </w: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Ból, sztywność, kurcze i drżenia pęczkowe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Rabdomioliza, CPK 1500-10 000 IU/l</w:t>
            </w: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Intensywny ból, znaczna sztywność, nasilone kurcze i drżenia pęczkowe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 xml:space="preserve">Rabdomioliza z powikłaniami, </w:t>
            </w:r>
          </w:p>
          <w:p>
            <w:pPr>
              <w:jc w:val="left"/>
            </w:pPr>
            <w:r>
              <w:rPr>
                <w:sz w:val="16"/>
              </w:rPr>
              <w:t>CPK &gt;10 000 IU/l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Zespół kompartmentowy</w:t>
            </w:r>
          </w:p>
        </w:tc>
      </w:tr>
      <w:tr>
        <w:tblPrEx>
          <w:tblW w:w="5000" w:type="pct"/>
          <w:tblLayout w:type="fixed"/>
        </w:tblPrEx>
        <w:tc>
          <w:tcPr>
            <w:tcW w:w="1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Skóra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Podrażnienie, 1 stopień oparzenia (zaczerwienienie) lub 2 stopień oparzenia na powierzchni &lt;10% powierzchni ciała</w:t>
            </w: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2 stopień oparzenia w 10-50% powierzchni ciała (dzieci: 10-30%) lub 3 stopień oparzenia na powierzchni &lt;2%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Odleżyny pojedyncze</w:t>
            </w: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2 stopień oparzenia &gt;50% powierzchni ciała (dzieci: &gt;30%) lub 3 stopień oparzenia na powierzchni &gt;2%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Odleżyny mnogie &gt;2%</w:t>
            </w:r>
          </w:p>
        </w:tc>
      </w:tr>
      <w:tr>
        <w:tblPrEx>
          <w:tblW w:w="5000" w:type="pct"/>
          <w:tblLayout w:type="fixed"/>
        </w:tblPrEx>
        <w:tc>
          <w:tcPr>
            <w:tcW w:w="1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Oczy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Podrażnienie, zaczerwienienie, łzawienie, nieznaczny obrzęk powiek</w:t>
            </w: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Znaczne podrażnienie, ubytki rogówki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Niewielkie (punktowe) owrzodzenie rogówki</w:t>
            </w: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Owrzodzenia rogówki (nie punktowe), perforacja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Trwałe uszkodzenie</w:t>
            </w:r>
          </w:p>
        </w:tc>
      </w:tr>
      <w:tr>
        <w:tblPrEx>
          <w:tblW w:w="5000" w:type="pct"/>
          <w:tblLayout w:type="fixed"/>
        </w:tblPrEx>
        <w:trPr>
          <w:trHeight w:hRule="atLeast" w:val="1077"/>
        </w:trPr>
        <w:tc>
          <w:tcPr>
            <w:tcW w:w="1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Zmiany miejscowe po ukąszeniach i użądleniach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Miejscowy obrzęk, swędzenie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Nieznaczny ból</w:t>
            </w: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Obrzęk obejmujący całą kończynę, miejscowa martwica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Umiarkowany ból</w:t>
            </w: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·</w:t>
            </w:r>
            <w:r>
              <w:rPr>
                <w:sz w:val="16"/>
              </w:rPr>
              <w:t>Obrzęk obejmujący całą kończynę i znaczną część otaczającej powierzchni, bardziej rozległa martwica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Krytyczna lokalizacja obrzęku zagrażająca drożności dróg oddechowych</w:t>
            </w:r>
          </w:p>
          <w:p>
            <w:pPr>
              <w:jc w:val="left"/>
            </w:pPr>
            <w:r>
              <w:t>·</w:t>
            </w:r>
            <w:r>
              <w:rPr>
                <w:sz w:val="16"/>
              </w:rPr>
              <w:t>Znacznie nasilony ból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Skala ta jest międzynarodową klasyfikacją ciężkości zatrucia w odniesieniu zarówno do osób dorosłych, jak i dzieci. Może być stosowana w przypadku każdego ostrego zatrucia niezależnie od ilości i typu czynników go wywołujących. Wypełnienie formularza PSS wymaga dokładnej analizy całości dokumentacji klinicznej.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Stopień ciężkości zatrucia zostaje określony na podstawie rzetelnej obserwacji klinicznej. PSS zawsze powinna brać pod uwagę całokształt procesu obserwacji klinicznej i być wypełniana w oparciu o uwzględnienie najcięższej symptomatologii (wystąpienie choćby jednego objawu), w tym objawów subiektywnych i obiektywnych. Może on być wypełniany w każdej chwili hospitalizacji, pod warunkiem dokładnego określenia czasu zbierania danych. Skala ta nie określa ryzyka i zagrożeń w oparciu o dane takie jak, ilość spożytej substancji czy stężenie ksenobiotyku we krwi.</w:t>
      </w: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2025-12-22T13:23:49Z</dcterms:created>
  <cp:lastModifiedBy>Mościcki Gilbert</cp:lastModifiedBy>
  <dcterms:modified xsi:type="dcterms:W3CDTF">2025-12-23T12:47:12Z</dcterms:modified>
  <cp:revision>10</cp:revision>
  <dc:subject>w sprawie określenia warunków zawierania i realizacji umów w rodzaju leczenie szpitalne oraz leczenie szpitalne - świadczenia wysokospecjalistyczne</dc:subject>
  <dc:title>Zarządzenie</dc:title>
</cp:coreProperties>
</file>