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ECEFA6" Type="http://schemas.openxmlformats.org/officeDocument/2006/relationships/officeDocument" Target="/word/document.xml" /><Relationship Id="coreR1BECEFA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7 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badań genetycznych w chorobach nowotworowych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15000" w:type="dxa"/>
            <w:gridSpan w:val="3"/>
            <w:tcBorders>
              <w:top w:val="single" w:sz="4" w:space="0" w:shadow="0" w:frame="0" w:color="00000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(ICD-10: C15 – C20, C22.1, C23, C24, C25, C34, C38, C40, C41, C43, C47, C48, C49, C50, C54,C56, C57.0, C61, C64, C65, C66, C67, C68, C69, C70, C71, C72, C73, C74, C78.6, C82, C83, C85, C88, C90.0, C90.1, C90.2, C91.0, C91.1, C 92.0, C92.1, C93.1, D33, D45, D46, D47, D76 - z rozszerzeniami do pięciu znaków)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580" w:type="dxa"/>
            <w:tcBorders>
              <w:top w:val="single" w:sz="2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63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 Zakres badań genetycznych</w:t>
            </w:r>
          </w:p>
        </w:tc>
        <w:tc>
          <w:tcPr>
            <w:tcW w:w="1279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Kategoria szczegółowa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1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Proste badanie genetyczne </w:t>
            </w: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1.1.</w:t>
            </w:r>
            <w:r>
              <w:rPr>
                <w:sz w:val="20"/>
              </w:rPr>
              <w:t xml:space="preserve"> Analiza kariotypu w komórkach nowotworowych przy użyciu </w:t>
            </w:r>
            <w:r>
              <w:rPr>
                <w:b w:val="1"/>
                <w:sz w:val="20"/>
              </w:rPr>
              <w:t>jednej metody prążkowej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1.2. FISH</w:t>
            </w:r>
            <w:r>
              <w:rPr>
                <w:b w:val="1"/>
                <w:sz w:val="20"/>
                <w:vertAlign w:val="superscript"/>
              </w:rPr>
              <w:t>2)</w:t>
            </w:r>
            <w:r>
              <w:rPr>
                <w:b w:val="1"/>
                <w:sz w:val="20"/>
              </w:rPr>
              <w:t>/ISH</w:t>
            </w:r>
            <w:r>
              <w:rPr>
                <w:b w:val="1"/>
                <w:sz w:val="20"/>
                <w:vertAlign w:val="superscript"/>
              </w:rPr>
              <w:t>3)</w:t>
            </w:r>
            <w:r>
              <w:rPr>
                <w:sz w:val="20"/>
              </w:rPr>
              <w:t xml:space="preserve"> (fluorescencyjna hybrydyzacja in situ) do komórek nowotworowych z zastosowaniem </w:t>
            </w:r>
            <w:r>
              <w:rPr>
                <w:b w:val="1"/>
                <w:sz w:val="20"/>
              </w:rPr>
              <w:t>jednej sondy</w:t>
            </w:r>
            <w:r>
              <w:rPr>
                <w:sz w:val="20"/>
              </w:rPr>
              <w:t xml:space="preserve"> DNA lub sondy z zestawem kontrolnym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1.3. Prosty test - badanie molekularne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Analiza jednej lub kilku mutacji wykrywanych w od jednego do 6 amplikonów przy użyciu reakcji PCR</w:t>
            </w:r>
            <w:r>
              <w:rPr>
                <w:sz w:val="20"/>
                <w:vertAlign w:val="superscript"/>
              </w:rPr>
              <w:t>1)</w:t>
            </w:r>
            <w:r>
              <w:rPr>
                <w:sz w:val="20"/>
              </w:rPr>
              <w:t>/ sekwencjonowania Sangera / prostych zestawów diagnostycznych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lub analiza ekspresji / obecności genu lub kilku genów (w tym genów fuzyjnych) przy użyciu metody real-time PCR (RQ-PCR).</w:t>
            </w:r>
          </w:p>
        </w:tc>
      </w:tr>
      <w:tr>
        <w:tblPrEx>
          <w:tblW w:w="5000" w:type="pct"/>
          <w:tblLayout w:type="fixed"/>
        </w:tblPrEx>
        <w:trPr>
          <w:trHeight w:hRule="atLeast" w:val="320"/>
        </w:trPr>
        <w:tc>
          <w:tcPr>
            <w:tcW w:w="5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</w:t>
            </w:r>
          </w:p>
        </w:tc>
        <w:tc>
          <w:tcPr>
            <w:tcW w:w="1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Złożone badanie genetyczne</w:t>
            </w: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2.1.</w:t>
            </w:r>
            <w:r>
              <w:rPr>
                <w:sz w:val="20"/>
              </w:rPr>
              <w:t xml:space="preserve"> Analiza kariotypu w komórkach nowotworowych przy użyciu </w:t>
            </w:r>
            <w:r>
              <w:rPr>
                <w:b w:val="1"/>
                <w:sz w:val="20"/>
              </w:rPr>
              <w:t>dwu lub kilku metod prążkowych</w:t>
            </w:r>
          </w:p>
        </w:tc>
      </w:tr>
      <w:tr>
        <w:tblPrEx>
          <w:tblW w:w="5000" w:type="pct"/>
          <w:tblLayout w:type="fixed"/>
        </w:tblPrEx>
        <w:trPr>
          <w:trHeight w:hRule="atLeast" w:val="45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2.2.</w:t>
            </w:r>
            <w:r>
              <w:rPr>
                <w:sz w:val="20"/>
              </w:rPr>
              <w:t xml:space="preserve"> Analiza kariotypu w komórkach nowotworowych przy użyciu </w:t>
            </w:r>
            <w:r>
              <w:rPr>
                <w:b w:val="1"/>
                <w:sz w:val="20"/>
              </w:rPr>
              <w:t>jednej metody prążkowej z równoległą analizą FISH</w:t>
            </w:r>
            <w:r>
              <w:rPr>
                <w:b w:val="1"/>
                <w:sz w:val="20"/>
                <w:vertAlign w:val="superscript"/>
              </w:rPr>
              <w:t>2)</w:t>
            </w:r>
            <w:r>
              <w:rPr>
                <w:b w:val="1"/>
                <w:sz w:val="20"/>
              </w:rPr>
              <w:t xml:space="preserve"> z użyciem 1-2 zestawów sond</w:t>
            </w:r>
            <w:r>
              <w:rPr>
                <w:sz w:val="20"/>
              </w:rPr>
              <w:t xml:space="preserve"> lub z</w:t>
            </w:r>
            <w:r>
              <w:rPr>
                <w:b w:val="1"/>
                <w:sz w:val="20"/>
              </w:rPr>
              <w:t xml:space="preserve"> prostym badaniem molekularnym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2.3 FISH</w:t>
            </w:r>
            <w:r>
              <w:rPr>
                <w:b w:val="1"/>
                <w:sz w:val="20"/>
                <w:vertAlign w:val="superscript"/>
              </w:rPr>
              <w:t>2)</w:t>
            </w:r>
            <w:r>
              <w:rPr>
                <w:b w:val="1"/>
                <w:sz w:val="20"/>
              </w:rPr>
              <w:t>/ISH</w:t>
            </w:r>
            <w:r>
              <w:rPr>
                <w:b w:val="1"/>
                <w:sz w:val="20"/>
                <w:vertAlign w:val="superscript"/>
              </w:rPr>
              <w:t>3)</w:t>
            </w:r>
            <w:r>
              <w:rPr>
                <w:sz w:val="20"/>
              </w:rPr>
              <w:t xml:space="preserve"> do komórek nowotworowych z zastosowaniem kilku sond (</w:t>
            </w:r>
            <w:r>
              <w:rPr>
                <w:b w:val="1"/>
                <w:sz w:val="20"/>
              </w:rPr>
              <w:t>od 2 do 3 zestawów sond)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2.4. FISH</w:t>
            </w:r>
            <w:r>
              <w:rPr>
                <w:b w:val="1"/>
                <w:sz w:val="20"/>
                <w:vertAlign w:val="superscript"/>
              </w:rPr>
              <w:t>2)</w:t>
            </w:r>
            <w:r>
              <w:rPr>
                <w:sz w:val="20"/>
              </w:rPr>
              <w:t xml:space="preserve"> do komórek nowotworowych z zastosowaniem zestawu sond (</w:t>
            </w:r>
            <w:r>
              <w:rPr>
                <w:b w:val="1"/>
                <w:sz w:val="20"/>
              </w:rPr>
              <w:t xml:space="preserve">od 1 do 2 sond) z równoległą analizą kariotypu </w:t>
            </w:r>
            <w:r>
              <w:rPr>
                <w:sz w:val="20"/>
              </w:rPr>
              <w:t xml:space="preserve">lub z </w:t>
            </w:r>
            <w:r>
              <w:rPr>
                <w:b w:val="1"/>
                <w:sz w:val="20"/>
              </w:rPr>
              <w:t>prostym badaniem molekularnym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2.5. C-Ig-FISH</w:t>
            </w:r>
            <w:r>
              <w:rPr>
                <w:b w:val="1"/>
                <w:sz w:val="20"/>
                <w:vertAlign w:val="superscript"/>
              </w:rPr>
              <w:t>2)</w:t>
            </w:r>
            <w:r>
              <w:rPr>
                <w:b w:val="1"/>
                <w:sz w:val="20"/>
              </w:rPr>
              <w:t xml:space="preserve"> (</w:t>
            </w:r>
            <w:r>
              <w:rPr>
                <w:sz w:val="20"/>
              </w:rPr>
              <w:t xml:space="preserve">Cytoplasmic Immunoglobulin FISH) </w:t>
            </w:r>
            <w:r>
              <w:rPr>
                <w:b w:val="1"/>
                <w:sz w:val="20"/>
              </w:rPr>
              <w:t>ocena statusu kilku genów w wyodrębnionej populacji plazmocytów</w:t>
            </w:r>
            <w:r>
              <w:rPr>
                <w:sz w:val="20"/>
              </w:rPr>
              <w:t xml:space="preserve"> (zestaw sond zgodnie z zaleceniami klinicznymi)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2.6. Złożony test - badanie molekularne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Analiza 6-40 amplikonów metodą sekwencjonowania Sangera lub NGS albo sekwencjonowanie NGS dla wariantów germinalnych do 0,2 Mb (megabazy)</w:t>
            </w:r>
          </w:p>
        </w:tc>
      </w:tr>
      <w:tr>
        <w:tblPrEx>
          <w:tblW w:w="5000" w:type="pct"/>
          <w:tblLayout w:type="fixed"/>
        </w:tblPrEx>
        <w:trPr>
          <w:trHeight w:hRule="atLeast" w:val="45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lub analiza kilkudziesięciu mutacji przy użyciu prostej reakcji PCR</w:t>
            </w: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z wykorzystaniem 2-3 prostych zestawów diagnostycznych lub jednego złożonego zestawu diagnostycznego do oceny statusu co najmniej 2-3 genów.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lub badanie mutacji dynamicznych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lub analiza duplikacji/delecji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lub analiza metylacji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5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3.</w:t>
            </w:r>
          </w:p>
        </w:tc>
        <w:tc>
          <w:tcPr>
            <w:tcW w:w="1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Zaawansowane badanie genetyczne</w:t>
            </w: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3.1. </w:t>
            </w:r>
            <w:r>
              <w:rPr>
                <w:sz w:val="20"/>
              </w:rPr>
              <w:t xml:space="preserve">Analiza kariotypu w komórkach nowotworowych przy użyciu </w:t>
            </w:r>
            <w:r>
              <w:rPr>
                <w:b w:val="1"/>
                <w:sz w:val="20"/>
              </w:rPr>
              <w:t xml:space="preserve">jednej metody prążkowej z równoległymi badaniami analizą FISH </w:t>
            </w:r>
            <w:r>
              <w:rPr>
                <w:sz w:val="20"/>
              </w:rPr>
              <w:t xml:space="preserve">z użyciem </w:t>
            </w:r>
            <w:r>
              <w:rPr>
                <w:b w:val="1"/>
                <w:sz w:val="20"/>
              </w:rPr>
              <w:t>&gt; 2 zestawów sond</w:t>
            </w:r>
            <w:r>
              <w:rPr>
                <w:sz w:val="20"/>
              </w:rPr>
              <w:t xml:space="preserve"> lub </w:t>
            </w:r>
            <w:r>
              <w:rPr>
                <w:b w:val="1"/>
                <w:sz w:val="20"/>
              </w:rPr>
              <w:t>z badaniem molekularnym (2 proste lub 1 złożone badanie molekularne)</w:t>
            </w:r>
          </w:p>
        </w:tc>
      </w:tr>
      <w:tr>
        <w:tblPrEx>
          <w:tblW w:w="5000" w:type="pct"/>
          <w:tblLayout w:type="fixed"/>
        </w:tblPrEx>
        <w:trPr>
          <w:trHeight w:hRule="atLeast" w:val="453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3.2. FISH/ISH</w:t>
            </w:r>
            <w:r>
              <w:rPr>
                <w:sz w:val="20"/>
                <w:vertAlign w:val="superscript"/>
              </w:rPr>
              <w:t xml:space="preserve">2),3) </w:t>
            </w:r>
            <w:r>
              <w:rPr>
                <w:sz w:val="20"/>
              </w:rPr>
              <w:t xml:space="preserve">do komórek nowotworowych z zastosowaniem zestawu </w:t>
            </w:r>
            <w:r>
              <w:rPr>
                <w:b w:val="1"/>
                <w:sz w:val="20"/>
              </w:rPr>
              <w:t>co najmniej 4 zestawów sond lub z zastosowaniem co najmniej 3</w:t>
            </w:r>
            <w:r>
              <w:rPr>
                <w:sz w:val="20"/>
                <w:vertAlign w:val="superscript"/>
              </w:rPr>
              <w:t>4)</w:t>
            </w:r>
            <w:r>
              <w:rPr>
                <w:b w:val="1"/>
                <w:sz w:val="20"/>
              </w:rPr>
              <w:t xml:space="preserve"> zestawów sond z równoległym badaniem molekularnym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3.3.Test zaawansowany - badanie molekularne</w:t>
            </w:r>
          </w:p>
        </w:tc>
      </w:tr>
      <w:tr>
        <w:tblPrEx>
          <w:tblW w:w="5000" w:type="pct"/>
          <w:tblLayout w:type="fixed"/>
        </w:tblPrEx>
        <w:trPr>
          <w:trHeight w:hRule="atLeast" w:val="28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 ekspresji genów GEP (Gene Expresion Profiling) - różne zestawy diagnostyczne dedykowane poszczególnym nowotworom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5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lub sekwencjonowanie NGS (powyżej 40 amplikonów)</w:t>
            </w:r>
          </w:p>
        </w:tc>
      </w:tr>
      <w:tr>
        <w:tblPrEx>
          <w:tblW w:w="5000" w:type="pct"/>
          <w:tblLayout w:type="fixed"/>
        </w:tblPrEx>
        <w:trPr>
          <w:trHeight w:hRule="atLeast" w:val="310"/>
        </w:trPr>
        <w:tc>
          <w:tcPr>
            <w:tcW w:w="1500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vertAlign w:val="superscript"/>
              </w:rPr>
              <w:t xml:space="preserve">1) </w:t>
            </w:r>
            <w:r>
              <w:rPr>
                <w:i w:val="1"/>
              </w:rPr>
              <w:t>badanie metodą PCR lub modyfikacjami tej metody (RT-PCR, RQ-PCR, nested-PCR, real time PCR i inne).</w:t>
            </w:r>
          </w:p>
          <w:p>
            <w:pPr>
              <w:jc w:val="left"/>
            </w:pPr>
            <w:r>
              <w:rPr>
                <w:i w:val="1"/>
                <w:vertAlign w:val="superscript"/>
              </w:rPr>
              <w:t xml:space="preserve">2) </w:t>
            </w:r>
            <w:r>
              <w:rPr>
                <w:i w:val="1"/>
              </w:rPr>
              <w:t>oznaczenie FISH użyte w tabeli oznacza fluorescencyjna hybrydyzacja in situ.</w:t>
            </w:r>
          </w:p>
          <w:p>
            <w:pPr>
              <w:jc w:val="left"/>
            </w:pPr>
            <w:r>
              <w:rPr>
                <w:i w:val="1"/>
                <w:vertAlign w:val="superscript"/>
              </w:rPr>
              <w:t xml:space="preserve">3) </w:t>
            </w:r>
            <w:r>
              <w:rPr>
                <w:i w:val="1"/>
              </w:rPr>
              <w:t>oznaczenie ISH użyte w tabeli oznacza niefluorescencyjna hybrydyzacja in situ (np. CISH, SISH i metody pokrewne).</w:t>
            </w:r>
          </w:p>
          <w:p>
            <w:pPr>
              <w:jc w:val="left"/>
            </w:pPr>
            <w:r>
              <w:rPr>
                <w:i w:val="1"/>
                <w:vertAlign w:val="superscript"/>
              </w:rPr>
              <w:t xml:space="preserve">4) </w:t>
            </w:r>
            <w:r>
              <w:rPr>
                <w:i w:val="1"/>
              </w:rPr>
              <w:t>trzech zestawów diagnostycznych identyfikujących niezależne molekularne markery predykcyjne, o ile w równoległym badaniu nie stwierdzono klinicznie istotnych wariantów genetycznych.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2025-12-22T12:32:36Z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