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2A10B86" Type="http://schemas.openxmlformats.org/officeDocument/2006/relationships/officeDocument" Target="/word/document.xml" /><Relationship Id="coreR32A10B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16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5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świadczeniodawcy*</w:t>
            </w:r>
          </w:p>
        </w:tc>
        <w:tc>
          <w:tcPr>
            <w:tcW w:w="336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……………… dnia ……………… r.</w:t>
            </w: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przedstawiciela ustawowego lub opiekuna faktycznego pacjenta małoletniego</w:t>
        <w:br w:type="textWrapping"/>
        <w:t>lub posiadającego orzeczenie o znacznym stopniu niepełnosprawności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textWrapping"/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(dotyczy: produktu, o którym mowa w art. 34 ust. 3 ustawy z dnia 6 listopada 2008 r. o prawach pacjenta i Rzeczniku Praw Pacjenta)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PESEL (jeżeli został nadany): ǀ _ ǀ _ ǀ _ ǀ _ ǀ _ ǀ _ ǀ _ ǀ _ ǀ _ ǀ _ ǀ _ ǀ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Rodzaj, numer i seria dokumentu potwierdzającego tożsamość (w przypadku braku numeru PESEL)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…………..……………………………………………………………………………………….................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przedstawiciela ustawowego lub opiekuna faktycznego: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dotyczące liczby dni pobytu: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pobytu – od …..………….….... do 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(dd/mm/rrrr) (dd/mm/rrrr)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Ilość osobodni ……………………………………………………………………..……………………..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składającego oświadczenie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Pieczęć/nadruk/naklejka świadczeniodawcy zawierające nazwę, adres, NIP i REGON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2025-12-22T13:02:35Z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