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518C5C" Type="http://schemas.openxmlformats.org/officeDocument/2006/relationships/officeDocument" Target="/word/document.xml" /><Relationship Id="coreR25518C5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45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</w:tblPrEx>
        <w:trPr>
          <w:trHeight w:hRule="atLeast" w:val="206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układowym;</w:t>
            </w:r>
          </w:p>
          <w:p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>
        <w:tblPrEx>
          <w:tblW w:w="5000" w:type="pct"/>
          <w:tblLayout w:type="fixed"/>
        </w:tblPrEx>
        <w:trPr>
          <w:trHeight w:hRule="atLeast" w:val="206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>
            <w:pPr>
              <w:jc w:val="left"/>
            </w:pPr>
            <w:r>
              <w:rPr>
                <w:sz w:val="20"/>
              </w:rPr>
              <w:t>14) M30.1 guzkowe zapalenie tętnic z zajęciem płuc (EGPA)</w:t>
            </w:r>
          </w:p>
          <w:p>
            <w:pPr>
              <w:jc w:val="left"/>
            </w:pPr>
            <w:r>
              <w:rPr>
                <w:sz w:val="20"/>
              </w:rPr>
              <w:t>15) M 31.3 ziarniniakowatość z zapaleniem naczyń (GPA);</w:t>
            </w:r>
          </w:p>
          <w:p>
            <w:pPr>
              <w:jc w:val="left"/>
            </w:pPr>
            <w:r>
              <w:rPr>
                <w:sz w:val="20"/>
              </w:rPr>
              <w:t>16) M 31.5 olbrzymiokomórkowe zapalenie tętnic ze współistnieniem polimialgii reumatycznej (GCA);</w:t>
            </w:r>
          </w:p>
          <w:p>
            <w:pPr>
              <w:jc w:val="left"/>
            </w:pPr>
            <w:r>
              <w:rPr>
                <w:sz w:val="20"/>
              </w:rPr>
              <w:t>17) M 31.6 inne olbrzymiokomórkowe zapalenie tętnic;</w:t>
            </w:r>
          </w:p>
          <w:p>
            <w:pPr>
              <w:jc w:val="left"/>
            </w:pPr>
            <w:r>
              <w:rPr>
                <w:sz w:val="20"/>
              </w:rPr>
              <w:t>18) M 31.7 mikroskopowe zapalenie wielonaczyniowe (MPA);</w:t>
            </w:r>
          </w:p>
          <w:p>
            <w:pPr>
              <w:jc w:val="left"/>
            </w:pPr>
            <w:r>
              <w:rPr>
                <w:sz w:val="20"/>
              </w:rPr>
              <w:t>19) M 31.8 inne określone martwicze choroby naczyń krwionośnych.</w:t>
            </w:r>
          </w:p>
        </w:tc>
      </w:tr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2 - 6.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Leczenie pacjentów z układowymi zapaleniami naczyń (ICD-10: M30.1, M31.3, M31.5, M31.6, M31.7, M31.8) – moduł GPA i MPA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Wzór wniosku o kwalifikację do leczenia awakopanem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(GPA/MPA):…………………….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(ciężka/umiarkowana/lekka):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BVAS/WG:……………………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aktualnie leczony rytuksymabem w programie (TAK/NIE): 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Awakopan ma być stosowany w skojarzeniu z (rytuksymabem/ cyklofosfamidem): 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Wysoka aktywność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co najmniej 3 punkty w skali BVAS/WG, w tym występowanie co najmniej 1 objawu dużego aktywnej choroby oraz obecność przeciwciał ANCA (c-ANCA lub p-ANCA) w surowicy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co najmniej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przynajmniej jednego z poniższych kryteriów: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niemożność zredukowania dawki glikokortykosteroidów do 5 mg prednizonu lub jego ekwiwalentu w ciągu co najmniej 5 miesięcy leczenia rytuksymabem lub cyklofosfamidem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bezwzględne przeciwwskazanie do stosowania glikokortykosteroidów w dużych dawkach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uszkodzenie nerek w przebiegu zapalenia naczyń GPA lub MPA z eGFR ≤30 ml/min.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awakopanem w programie lekowym Leczenie pacjentów z układowymi zapaleniami naczyń (ICD-10: M30.1, M31.3, M31.5, M31.6, M31.7, M31.8) – moduł GPA/MPA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awakopan w skojarzeniu z rytuksymabem/ cyklofosfamidem (niepotrzebne skreślić)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awakopanem w skojarzeniu z rytuksymabem/cyklofosfamidem*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 Wzory dokumentów niezbędnych dla kwalifikacji pacjenta do leczenia w programie lekowym Leczenie pacjentów z układowymi zapaleniami naczyń (ICD-10: M30.1, M31.3, M31.5, M31.6, M31.7, M31.8) – moduł EGPA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benralizumabem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Postać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nawracająco-ustępująca: co najmniej jeden nawrót aktywnej choroby (BVAS≥2) w okresie 6 miesięcy poprzedzających włączenie do programu, pomimo stosowania skojarzonego leczenia podtrzymującego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oporna na leczenie w okresie 6 miesięcy poprzedzających włączenie do programu: brak uzyskania ci najmniej niskiej aktywności choroby (BVAS&lt;2) pomimo stosowania zalecanego przez ACR/EULAR skojarzonego leczenia indukującego remisję w pierwszej linii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c) oporna na leczenie w okresie 6 miesięcy poprzedzających włączenie do programu: nawrót aktywnej choroby (BVAS≥2) u pacjentów stosujących skojarzone leczenie podtrzymujące 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benralizumabem w programie lekowym Leczenie pacjentów z układowymi zapaleniami naczyń (ICD-10: M30.1, M31.3, M31.5, M31.6, M31.7, M31.8) – moduł EGPA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benralizumab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3.1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benralizumabem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4. Wzory dokumentów niezbędnych dla kwalifikacji pacjenta do leczenia w programie lekowym Leczenie chorych z toczniem rumieniowatym układowym (TRU, SLE) (ICD-10: M32)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rytuksymabem w programie Leczenie chorych z toczniem rumieniowatym układowym (TRU, SLE) (ICD-10: M32)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choroby- liczba punktów w skali (SLEDAI-2K/ BILAG-2004):……………………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Ogólna ocena aktywności choroby w skali PGA:…………………………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leczony w przeszłości anifrolumabem w programie lekowym? (TAK/ NIE):.................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Aktywność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wartość SLEDAI-2K ≥6, w tym wartość klinicznego SLEDAI-2K ≥4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ocena stopnia aktywności choroby w skali BILAG-2004 ≥1A lub ≥2B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rytuksymabem w programie lekowym Leczenie chorych z toczniem rumieniowatym układowym (TRU, SLE) (ICD-10: M32)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4.1 Załącznik do wniosku o zakwalifikowanie pacjenta do leczenia w programie lekowym Leczenie chorych z toczniem rumieniowatym układowym (TRU, SLE) (ICD-10: M32)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 Wzory dokumentów niezbędnych dla kwalifikacji pacjenta do leczenia w programie lekowym Leczenie pacjentów z chorobą śródmiąższową płuc (ICD-10: D86, J67.0-J67.9, J84.1, J84.8, J84.9, J99.0, J99.1, M34)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rytuksymabem w programie Leczenie pacjentów z chorobą śródmiąższową płuc (ICD-10: D86, J67.0-J67.9, J84.1, J84.8, J84.9, J99.0, J99.1, M34)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(PF-ILD/ SSc-ILD):……………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Wnioskowane stosowanie rytuksymabu (w monoterapii/ w skojarzeniu z nintedanibem):…………………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I. Dotyczy rozpoznania SSc-ILD: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twardziny układowej zgodnie z rekomendacjami EULAR/ACR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włókniste w badaniu TKWR zajmują co najmniej 10% oraz udokumentowano spadek wartości FVC o co najmniej 10% lub spadek wartości FVC o co najmniej 5% i spadek TLCO a co najmniej 15%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włókniste w badaniu TKWR zajmują co najmniej 10% oraz wartość FVC stanowi &lt;70% wartości należnej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II. Dotyczy rozpoznania PF-ILD: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układowej choroby tkanki łącznej, w tym RZS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o typie włóknienia w badaniu TKWR zajmują co najmniej 10% oraz udokumentowano spadek wartości FVC lub progresję włóknienia płuc zgodnie z opisem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o typie włóknienia w badaniu TKWR zajmują co najmniej 10% oraz wartość FVC stanowi &lt;70% wartości należnej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zmiany o typie włóknienia w badaniu TKWR zajmują co najmniej 20%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rytuksymabem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5.1 Załącznik do wniosku o zakwalifikowanie pacjenta do leczenia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(w monoterapii/ w skojarzeniu z nintedanibem)*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6. Wzory dokumentów niezbędnych dla kwalifikacji pacjenta do leczenia w programie lekowym Leczenie pacjentów z chorobą śródmiąższową płuc (ICD-10: D86, J67.0-J67.9, J84.1, J84.8, J84.9, J99.0, J99.1, M34)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tocilizumabem w programie Leczenie pacjentów z chorobą śródmiąższową płuc (ICD-10: D86, J67.0-J67.9, J84.1, J84.8, J84.9, J99.0, J99.1, M34)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Wnioskowane stosowanie tocilizumabu (w monoterapii/ w skojarzeniu z nintedanibem):…………………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I. Dotyczy rozpoznania SSc-ILD: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twardziny układowej zgodnie z rekomendacjami EULAR/ACR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jednego z poniższych kryteriów: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zmiany włókniste w badaniu TKWR zajmują co najmniej 10% oraz udokumentowano spadek wartości FVC o co najmniej 10% lub spadek wartości FVC o co najmniej 5% i spadek TLCO a co najmniej 15%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zmiany włókniste w badaniu TKWR zajmują co najmniej 10% oraz wartość FVC stanowi &lt;70% wartości należnej lub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 Wartość ogólnej oceny aktywności choroby przez lekarza w skali PGA &gt;1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………………………………………..………………………………...............................................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tocilizumabem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tozilizumab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6.1 Załącznik do wniosku o zakwalifikowanie pacjenta do leczenia w programie lekowym Leczenie pacjentów z chorobą śródmiąższową płuc (ICD-10: D86, J67.0-J67.9, J84.1, J84.8, J84.9, J99.0, J99.1, M34)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tocilizumabem (w monoterapii/ w skojarzeniu z nintedanibem)*oraz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2025-10-17T13:20:13Z</dcterms:created>
  <cp:lastModifiedBy>Popiołek Tomasz</cp:lastModifiedBy>
  <dcterms:modified xsi:type="dcterms:W3CDTF">2025-10-31T11:24:28Z</dcterms:modified>
  <cp:revision>27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