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ECA0B4" Type="http://schemas.openxmlformats.org/officeDocument/2006/relationships/officeDocument" Target="/word/document.xml" /><Relationship Id="coreR7CECA0B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i weryfikację skuteczności leczenia nocnej napadowej hemoglobinurii (PNH)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z nocną napadową hemoglobinurią (PNH)</w:t>
            </w:r>
          </w:p>
        </w:tc>
      </w:tr>
      <w:tr>
        <w:tblPrEx>
          <w:tblW w:w="5000" w:type="pct"/>
          <w:tblLayout w:type="fixed"/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 59.5 - Nocna napadowa hemoglobinuria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1121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i weryfikacji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i weryfikacja skuteczności leczenia ekulizumabem w zakresie nocnej napadowej hemoglobinurii (PNH) dokonywana jest w oparciu o wnioski przedłożone za pośrednictwem elektronicznego systemu monitorowania programów lekowych lub w oparciu o wnioski określone w pkt. 2 - 3</w:t>
            </w:r>
          </w:p>
        </w:tc>
      </w:tr>
      <w:tr>
        <w:tblPrEx>
          <w:tblW w:w="5000" w:type="pct"/>
          <w:tblLayout w:type="fixed"/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2. Wzory dokumentów niezbędnych dla kwalifikacji pacjenta do leczenia w programie lekowym Leczenie chorych z nocną napadową hemoglobinurią (PNH) </w:t>
            </w:r>
          </w:p>
        </w:tc>
      </w:tr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o zakwalifikowanie pacjenta do leczenia w programie lekowym Leczenie chorych z nocną napadową hemoglobinurią (PNH) - krowalimabem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gridAfter w:val="1"/>
          <w:wAfter w:w="735" w:type="dxa"/>
          <w:trHeight w:hRule="atLeast" w:val="540"/>
        </w:trPr>
        <w:tc>
          <w:tcPr>
            <w:tcW w:w="489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  <w:tr>
        <w:tblPrEx>
          <w:tblW w:w="5000" w:type="pct"/>
          <w:tblLayout w:type="fixed"/>
        </w:tblPrEx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 z nr tel. kontaktowym i adresem e-mail: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Kwalifikacja pacjenta do leczenia krowalimabem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pacjent nie leczony uprzednio inhibitorem C5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pacjent, który stosował wcześniej inhibitor C5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kwalifikacji pacjenta leczonego wcześniej inhibitorem C5 proszę podać: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Nr pacjenta w systemie SMPT:</w:t>
            </w:r>
          </w:p>
        </w:tc>
        <w:tc>
          <w:tcPr>
            <w:tcW w:w="5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Okres leczenia inhibitorem C5 </w:t>
            </w:r>
          </w:p>
        </w:tc>
        <w:tc>
          <w:tcPr>
            <w:tcW w:w="5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Stosowana terapia – należy podać nazwę, dawkowanie </w:t>
            </w:r>
          </w:p>
        </w:tc>
        <w:tc>
          <w:tcPr>
            <w:tcW w:w="5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9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leczenie substancjami czynnymi finansowanymi w programie lekowym w ramach innego sposobu finansowania terapii sposób finasowania</w:t>
            </w:r>
          </w:p>
        </w:tc>
        <w:tc>
          <w:tcPr>
            <w:tcW w:w="5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Nazwa badania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Wynik badania </w:t>
            </w:r>
          </w:p>
          <w:p>
            <w:pPr>
              <w:jc w:val="left"/>
            </w:pPr>
            <w:r>
              <w:rPr>
                <w:b w:val="1"/>
              </w:rPr>
              <w:t>(zgodnie z opisem programu lekowego)</w:t>
            </w:r>
          </w:p>
          <w:p>
            <w:pPr>
              <w:jc w:val="left"/>
            </w:pPr>
            <w:r>
              <w:t>- do wniosku można dołączyć kopię wyników badań</w:t>
            </w: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granulocytów oraz erytrocytów w cytometrze przepływowym pod kątem obecności klonu PNH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test ciążowy u kobiet w wieku rozrodczym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dehydrogenazy mleczanowej (LDH)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morfologia krwi obwodowej z rozmazem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częściowej tromboplastyny po aktywacji (APTT)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protrombinowy (PT)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1"/>
        </w:trPr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fibrynogen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Bezpośredni test antyglobulinowy BTA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oznaczenie grupy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kreatyniny w surowicy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mocznika w surowicy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aminotransferazy alaninowej (AlAT)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bilirubiny całkowitej i bezpośredniej w surowicy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haptoglobiny (Hp) w surowicy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sodu w surowicy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potasu w surowicy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ogólne moczu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badania obrazowe naczyń w przypadku podejrzenia zakrzepicy żylnej lub tętniczej lub incydentów zatorowych w zależności od umiejscowienia: ultrasonogram (USG) lub tomografia komputerowa (TK) lub magnetyczny rezonans jądrowy (MRI)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Informacje o spełnieniu kryteriów kwalifikacji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zgodnie z opisem programu lekowego – proszę uzupełnić właściwe pole lub wpisać nie dotyczy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Leczenie krowalimabem - Chorzy nieleczeni uprzednio inhibitorem C5: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Zdiagnozowana nocna napadowa hemoglobinuria z obecnością klonu PNH &gt;1% oznaczonego w badaniu cytometrii przepływowej i co najmniej jeden z poniższych: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objawy hemolizy związane z PNH oraz (łącznie):</w:t>
            </w:r>
          </w:p>
          <w:p>
            <w:pPr>
              <w:jc w:val="left"/>
            </w:pPr>
            <w:r>
              <w:t>● aktywnością dehydrogenazy mleczanowej (LDH) ≥1.5 przekraczająca górną granicę normy (GGN),</w:t>
            </w:r>
          </w:p>
          <w:p>
            <w:pPr>
              <w:jc w:val="left"/>
            </w:pPr>
            <w:r>
              <w:t xml:space="preserve">● co najmniej jedno z powikłań związanych z hemolizą: </w:t>
            </w:r>
          </w:p>
          <w:p>
            <w:pPr>
              <w:jc w:val="left"/>
            </w:pPr>
            <w:r>
              <w:t>− niewydolność nerek,</w:t>
            </w:r>
          </w:p>
          <w:p>
            <w:pPr>
              <w:jc w:val="left"/>
            </w:pPr>
            <w:r>
              <w:t>− nadciśnienie płucne lub duszność,</w:t>
            </w:r>
          </w:p>
          <w:p>
            <w:pPr>
              <w:jc w:val="left"/>
            </w:pPr>
            <w:r>
              <w:t>− znaczne zmęczenie ocenione wg FACIT upośledzające codzienną aktywność,</w:t>
            </w:r>
          </w:p>
          <w:p>
            <w:pPr>
              <w:jc w:val="left"/>
            </w:pPr>
            <w:r>
              <w:t>− hemoglobinuria,</w:t>
            </w:r>
          </w:p>
          <w:p>
            <w:pPr>
              <w:jc w:val="left"/>
            </w:pPr>
            <w:r>
              <w:t>− bóle brzucha,</w:t>
            </w:r>
          </w:p>
          <w:p>
            <w:pPr>
              <w:jc w:val="left"/>
            </w:pPr>
            <w:r>
              <w:t>− niedokrwistość (stężenie hemoglobiny &lt; 10g/dL),</w:t>
            </w:r>
          </w:p>
          <w:p>
            <w:pPr>
              <w:jc w:val="left"/>
            </w:pPr>
            <w:r>
              <w:t>− dysfagia,</w:t>
            </w:r>
          </w:p>
          <w:p>
            <w:pPr>
              <w:jc w:val="left"/>
            </w:pPr>
            <w:r>
              <w:t>− zaburzenia erekcji,</w:t>
            </w:r>
          </w:p>
          <w:p>
            <w:pPr>
              <w:jc w:val="left"/>
            </w:pPr>
            <w:r>
              <w:t>b) zakrzepica lub poważne zdarzenie naczyniowe w tym:</w:t>
            </w:r>
          </w:p>
          <w:p>
            <w:pPr>
              <w:jc w:val="left"/>
            </w:pPr>
            <w:r>
              <w:t>● zakrzepowe zapalenie żył głębokich/zakrzepica żył głębokich,</w:t>
            </w:r>
          </w:p>
          <w:p>
            <w:pPr>
              <w:jc w:val="left"/>
            </w:pPr>
            <w:r>
              <w:t>● zator tętnicy płucnej,</w:t>
            </w:r>
          </w:p>
          <w:p>
            <w:pPr>
              <w:jc w:val="left"/>
            </w:pPr>
            <w:r>
              <w:t>● zdarzenia mózgowo-naczyniowe,</w:t>
            </w:r>
          </w:p>
          <w:p>
            <w:pPr>
              <w:jc w:val="left"/>
            </w:pPr>
            <w:r>
              <w:t>● amputacja,</w:t>
            </w:r>
          </w:p>
          <w:p>
            <w:pPr>
              <w:jc w:val="left"/>
            </w:pPr>
            <w:r>
              <w:t>● zawał mięśnia sercowego,</w:t>
            </w:r>
          </w:p>
          <w:p>
            <w:pPr>
              <w:jc w:val="left"/>
            </w:pPr>
            <w:r>
              <w:t>● napad przemijającego niedokrwienia,</w:t>
            </w:r>
          </w:p>
          <w:p>
            <w:pPr>
              <w:jc w:val="left"/>
            </w:pPr>
            <w:r>
              <w:t>● niestabilna dławica piersiowa,</w:t>
            </w:r>
          </w:p>
          <w:p>
            <w:pPr>
              <w:jc w:val="left"/>
            </w:pPr>
            <w:r>
              <w:t>● zakrzepica żyły nerkowej,</w:t>
            </w:r>
          </w:p>
          <w:p>
            <w:pPr>
              <w:jc w:val="left"/>
            </w:pPr>
            <w:r>
              <w:t>● zakrzepica żył krezkowych,</w:t>
            </w:r>
          </w:p>
          <w:p>
            <w:pPr>
              <w:jc w:val="left"/>
            </w:pPr>
            <w:r>
              <w:t>● zakrzepica żyły wrotnej,</w:t>
            </w:r>
          </w:p>
          <w:p>
            <w:pPr>
              <w:jc w:val="left"/>
            </w:pPr>
            <w:r>
              <w:t>● zgorzel,</w:t>
            </w:r>
          </w:p>
          <w:p>
            <w:pPr>
              <w:jc w:val="left"/>
            </w:pPr>
            <w:r>
              <w:t>● ostre zamknięcia naczyń obwodowych;</w:t>
            </w:r>
          </w:p>
          <w:p/>
          <w:p>
            <w:pPr>
              <w:jc w:val="both"/>
            </w:pPr>
            <w:r>
              <w:t>●</w:t>
            </w:r>
            <w:r>
              <w:rPr>
                <w:lang w:val="pl-PL" w:bidi="pl-PL" w:eastAsia="pl-PL"/>
              </w:rPr>
              <w:t xml:space="preserve"> </w:t>
            </w:r>
            <w:r>
              <w:t>Wykonanie obowiązkowego szczepienia przeciw meningokokom w przypadku konieczności wdrożenia leczenia przed upływem 2 tygodni po wykonaniu szczepienia przeciw menigokokom - profilaktyka antybiotykowa przez okres 2 tygodni od momentu zaszczepienia;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Uwagi:</w:t>
            </w:r>
          </w:p>
          <w:p/>
          <w:p/>
          <w:p/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Leczenie krowalimabem - Chorzy stabilni klinicznie po terapii inhibitorem C5: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·Zdiagnozowana nocna napadowa hemoglobinuria z obecnością klonu PNH &gt;1% oznaczonego w badaniu cytometrii przepływowej przy kwalifikacji do pierwszego leczenia inhibitorem C5;</w:t>
            </w:r>
          </w:p>
          <w:p>
            <w:pPr>
              <w:jc w:val="both"/>
            </w:pPr>
            <w:r>
              <w:t>·Stosowanie inhibitora C5 przez co najmniej 6 ostatnich miesięcy;</w:t>
            </w:r>
          </w:p>
          <w:p>
            <w:pPr>
              <w:jc w:val="both"/>
            </w:pPr>
            <w:r>
              <w:t xml:space="preserve">·Aktywność dehydrogenazy mleczanowej (LDH) ≤1,5 górnej granicy normy (GGN); </w:t>
            </w:r>
          </w:p>
          <w:p>
            <w:pPr>
              <w:jc w:val="both"/>
            </w:pPr>
            <w:r>
              <w:t xml:space="preserve">·Wykonanie obowiązkowego szczepienia przeciw </w:t>
            </w:r>
            <w:r>
              <w:rPr>
                <w:i w:val="1"/>
              </w:rPr>
              <w:t>Neisseria meningitidis (o ile wymagane jest powtórzenie kolejnego szczepienia)</w:t>
            </w:r>
            <w:r>
              <w:t>, w przypadku konieczności wdrożenia leczenia przed upływem 2 tygodni po wykonaniu szczepień - profilaktyka antybiotykowa przez okres 2 tygodni od momentu zaszczepienia.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Uwagi: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o szczepieniach i profilaktyka antybiotykowa: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wynikające z opisu programu lekowego tj.: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nieobecność istotnych schorzeń współistniejących stanowiących przeciwskazanie do terapii stwierdzonych przez lekarza prowadzącego w oparciu o aktualną ChPL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brak przeciwwskazań do stosowania określonej w aktualnej ChPL substancji czynnej ujętej w programie lekowym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kobiet w wieku rozrodczym oraz poddanych leczeniu mężczyzn będących partnerami kobiet w wieku rozrodczym wymagana jest zgoda na świadomą kontrolę urodzeń, zgodnie z aktualną Charakterystyką Produktu Leczniczego (zwanej dalej ChPL) leku, którym odbywa się leczenie w programie lekowym;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Proszę odnieść się do powyższych kryteriów: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7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24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o ocenę efektu leczenia weryfikowanego po 3 miesiącach/kontynuację leczenia pacjenta w programie lekowym Leczenie chorych z nocną napadową hemoglobinurią (PNH) – krowalimab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skierowanie wniosku do Zespołu Koordynacyjnego zgodnie z kryteriami określonymi w opisie programu lekowego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Nr pacjenta w systemie SMPT 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Wiek pacjenta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wystawienia wniosku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Świadczeniodawca wystawiający wniosek z nr tel kontaktowym i adresem e-mail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Stosowany u pacjenta lek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60" w:type="dxa"/>
        </w:trPr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9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60" w:type="dxa"/>
        </w:trPr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9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Nazwa badania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Wynik badania </w:t>
            </w:r>
          </w:p>
          <w:p>
            <w:pPr>
              <w:jc w:val="left"/>
            </w:pPr>
            <w:r>
              <w:t>- do wniosku można dołączyć kopię wyników badań</w:t>
            </w: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badanie obecności klonów PNH w cytometrze przepływowym </w:t>
            </w:r>
            <w:r>
              <w:rPr>
                <w:sz w:val="20"/>
              </w:rPr>
              <w:t>6 miesięcy po rozpoczęciu leczenia i następne co 6 miesięcy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dehydrogenazy mleczanowej (LDH)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morfologia krwi z rozmazem 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kreatyniny w surowicy krwi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mocznika w surowicy krwi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aminotransferazy asparaginowej (AspAT)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aminotransferazy alaninowej (AlAT)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stężenie bilirubiny całkowitej 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Aplazja szpiku 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  <w:r>
              <w:rPr>
                <w:lang w:val="pl-PL" w:bidi="pl-PL" w:eastAsia="pl-PL"/>
              </w:rPr>
              <w:t xml:space="preserve"> / </w:t>
            </w:r>
            <w:r>
              <w:t>Nie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skuteczności zastosowanej terapii po 3 miesiącach terapii: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7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24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nocną napadową hemoglobinurią (PNH)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Nocnej Napadowej Hemoglobinurii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krowalimab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Pozytywna/Negatywna/Przerwanie 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Nocnej Napadowej Hemoglobinurii</w:t>
            </w: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b w:val="1"/>
          <w:u w:val="none" w:color="000000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▪ Administratorem Pani/Pana danych osobowych jest Narodowy Fundusz Zdrowia z siedzibą w Warszawie, ul. Rakowiecka 26/30, 02-528 Warszawa.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Każdy wniosek dotyczący realizacji z w/w praw zostanie rozpatrzony zgodnie z RODO.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u w:val="none" w:color="000000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z nocną napadową hemoglobinurią (PNH)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oraz zobowiązuję się do przyjmowania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t xml:space="preserve">Data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i w:val="1"/>
              </w:rPr>
            </w:pPr>
          </w:p>
          <w:p>
            <w:pPr>
              <w:spacing w:before="0" w:after="0" w:beforeAutospacing="0" w:afterAutospacing="0"/>
              <w:jc w:val="center"/>
              <w:rPr>
                <w:i w:val="1"/>
              </w:rPr>
            </w:pPr>
          </w:p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 xml:space="preserve">Data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  <w:rPr>
                <w:i w:val="1"/>
              </w:rPr>
            </w:pPr>
          </w:p>
          <w:p>
            <w:pPr>
              <w:jc w:val="center"/>
            </w:pPr>
            <w:r>
              <w:rPr>
                <w:i w:val="1"/>
              </w:rP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Style w:val="T1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Look w:val="04A0"/>
      </w:tblPr>
      <w:tblGrid/>
      <w:tr>
        <w:tc>
          <w:tcPr>
            <w:tcW w:w="1007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</w:tcPr>
          <w:p>
            <w:pPr>
              <w:keepNext w:val="0"/>
              <w:keepLines w:val="1"/>
              <w:spacing w:lineRule="auto" w:line="240" w:before="120" w:after="120" w:beforeAutospacing="0" w:afterAutospacing="0"/>
              <w:ind w:firstLine="0" w:left="0" w:right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3. </w:t>
            </w:r>
            <w:r>
              <w:rPr>
                <w:b w:val="1"/>
                <w:color w:val="000000"/>
                <w:u w:val="none" w:color="000000"/>
              </w:rPr>
              <w:t xml:space="preserve">Wzory dokumentów niezbędnych dla kwalifikacji pacjenta do leczenia w programie lekowym Leczenie chorych z nocną napadową hemoglobinurią (PNH) 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o zakwalifikowanie pacjenta do leczenia w programie lekowym Leczenie chorych z nocną napadową hemoglobinurią (PNH) – danikopan w skojarzeniu z rawulizumabem lub ekulizumabem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gridAfter w:val="1"/>
          <w:wAfter w:w="750" w:type="dxa"/>
          <w:trHeight w:hRule="atLeast" w:val="540"/>
        </w:trPr>
        <w:tc>
          <w:tcPr>
            <w:tcW w:w="47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5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750" w:type="dxa"/>
          <w:trHeight w:hRule="atLeast" w:val="540"/>
        </w:trPr>
        <w:tc>
          <w:tcPr>
            <w:tcW w:w="47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Nr pacjenta w systemie SMPT:</w:t>
            </w:r>
          </w:p>
        </w:tc>
        <w:tc>
          <w:tcPr>
            <w:tcW w:w="45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kwalifikacji pacjenta leczonego wcześniej substancjami czynnymi finansowanymi w programie lekowym w ramach innego sposobu finansowania terapii proszę podać: sposób finasowania…………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 z nr tel. kontaktowym i adresem e-mail: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Kwalifikacja pacjenta do leczenia danikopanem w skojarzeniu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rawulizumabem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ekulizumabem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Nazwa badania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Wynik badania </w:t>
            </w:r>
          </w:p>
          <w:p>
            <w:pPr>
              <w:jc w:val="left"/>
            </w:pPr>
            <w:r>
              <w:rPr>
                <w:b w:val="1"/>
              </w:rPr>
              <w:t>(zgodnie z opisem programu lekowego)</w:t>
            </w:r>
          </w:p>
          <w:p>
            <w:pPr>
              <w:jc w:val="left"/>
            </w:pPr>
            <w:r>
              <w:t>- do wniosku można dołączyć kopię wyników badań</w:t>
            </w: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morfologia krwi obwodowej z rozmazem i z liczbą retikulocytów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bezpośredni test antyglobulinowy (BTA)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dehydrogenazy mleczanowej (LDH)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bilirubiny całkowitej i bezpośredniej w surowicy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aminotransferazy alaninowej (AlAT);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kreatyniny w surowicy krwi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1"/>
        </w:trPr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test ciążowy u kobiet w wieku rozrodczym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Informacje o spełnieniu kryteriów kwalifikacji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zgodnie z opisem programu lekowego – proszę uzupełnić właściwe pole lub wpisać nie dotyczy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Leczenie danikopanem w skojarzeniu z rawulizumabem lub ekulizumabem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Zdiagnozowana nocna napadowa hemoglobinuria z obecnością klonu PNH &gt;1% oznaczonego w badaniu cytometrii przepływowej przy kwalifikacji do leczenia rawulizumabem lub ekulizumabem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</w:t>
            </w:r>
            <w:r>
              <w:rPr>
                <w:lang w:val="pl-PL" w:bidi="pl-PL" w:eastAsia="pl-PL"/>
              </w:rPr>
              <w:t xml:space="preserve"> </w:t>
            </w:r>
            <w:r>
              <w:t>obecność resztkowej niedokrwistości hemolitycznej u pacjentów, którzy przez co najmniej 3 ostatnie miesiące leczeni byli rawulizumabem lub ekulizumabem;</w:t>
            </w:r>
          </w:p>
          <w:p>
            <w:pPr>
              <w:jc w:val="left"/>
            </w:pPr>
            <w:r>
              <w:t>b)</w:t>
            </w:r>
            <w:r>
              <w:rPr>
                <w:lang w:val="pl-PL" w:bidi="pl-PL" w:eastAsia="pl-PL"/>
              </w:rPr>
              <w:t xml:space="preserve"> </w:t>
            </w:r>
            <w:r>
              <w:t>nieobecność niewyleczonego zakażenia wywołanego przez bakterie otoczkowe, w tym Neisseria meningitidis, Streptococcus pneumoniae i Haemophilus influenzae;</w:t>
            </w:r>
          </w:p>
          <w:p>
            <w:pPr>
              <w:jc w:val="both"/>
            </w:pPr>
            <w:r>
              <w:t>c)</w:t>
            </w:r>
            <w:r>
              <w:rPr>
                <w:lang w:val="pl-PL" w:bidi="pl-PL" w:eastAsia="pl-PL"/>
              </w:rPr>
              <w:t xml:space="preserve"> </w:t>
            </w:r>
            <w:r>
              <w:t>wykonanie obowiązkowego szczepienia przeciw Neisseria meningitidis (o ile wymagane jest powtórzenie kolejnego szczepienia), w przypadku konieczności wdrożenia leczenia przed upływem 2 tygodni po wykonaniu szczepień - profilaktyka antybiotykowa przez okres 2 tygodni od momentu zaszczepienia.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Uwagi:</w:t>
            </w:r>
          </w:p>
          <w:p/>
          <w:p/>
          <w:p/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o szczepieniach i profilaktyka antybiotykowa: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wynikające z opisu programu lekowego tj.: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kobiet oraz poddanych leczeniu mężczyzn będących partnerami kobiet w wieku rozrodczym wymagana jest zgoda na świadomą kontrolę urodzeń, zgodnie z aktualną Charakterystyką Produktu Leczniczego (zwanej dalej ChPL) leku, którym odbywa się leczenie w programie lekowym;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nieobecność istotnych schorzeń współistniejących stanowiących przeciwskazanie do terapii stwierdzonych przez lekarza prowadzącego w oparciu o aktualną ChPL;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brak przeciwwskazań do stosowania określonej w aktualnej ChPL substancji czynnej ujętej w programie lekowym.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Proszę odnieść się do powyższych kryteriów: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7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24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o ocenę efektu leczenia weryfikowanego po 3 miesiącach/ kontynuację leczenia pacjenta w programie lekowym Leczenie chorych z nocną napadową hemoglobinurią (PNH) – danikopan w skojarzeniu z rawulizumabem lub ekulizumabem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skierowanie wniosku do Zespołu Koordynacyjnego zgodnie z kryteriami określonymi w opisie programu lekowego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Nr pacjenta w systemie SMPT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Wiek pacjenta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wystawienia wniosku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Świadczeniodawca wystawiający wniosek z nr tel kontaktowym i adresem e-mail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skojarzony lek stosowany u pacjenta</w:t>
            </w:r>
          </w:p>
        </w:tc>
        <w:tc>
          <w:tcPr>
            <w:tcW w:w="55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60" w:type="dxa"/>
        </w:trPr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9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60" w:type="dxa"/>
        </w:trPr>
        <w:tc>
          <w:tcPr>
            <w:tcW w:w="1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9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Nazwa badania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Wynik badania </w:t>
            </w:r>
          </w:p>
          <w:p>
            <w:pPr>
              <w:jc w:val="left"/>
            </w:pPr>
            <w:r>
              <w:t>- do wniosku można dołączyć kopię wyników badań</w:t>
            </w: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obecności klonów PNH w cytometrze przepływowym (</w:t>
            </w:r>
            <w:r>
              <w:rPr>
                <w:sz w:val="20"/>
              </w:rPr>
              <w:t>6 miesięcy po rozpoczęciu leczenia i następne co 6 miesięcy)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dehydrogenazy mleczanowej (LDH)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morfologia krwi z rozmazem 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kreatyniny w surowicy krwi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mocznika w surowicy krwi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aminotransferazy asparaginowej (AspAT)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aktywność aminotransferazy alaninowej (AlAT)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stężenie bilirubiny całkowitej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Aplazja szpiku</w:t>
            </w:r>
          </w:p>
        </w:tc>
        <w:tc>
          <w:tcPr>
            <w:tcW w:w="5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  <w:r>
              <w:rPr>
                <w:lang w:val="pl-PL" w:bidi="pl-PL" w:eastAsia="pl-PL"/>
              </w:rPr>
              <w:t xml:space="preserve"> / </w:t>
            </w:r>
            <w:r>
              <w:t>Nie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skuteczności zastosowanej terapii po 3 miesiącach terapii: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7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24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nocną napadową hemoglobinurią (PNH)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Nocnej Napadowej Hemoglobinurii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danikopan w skojarzeniu z rawulizumabem / z ekulizumabem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Pozytywna/Negatywna/Przerwanie 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Nocnej Napadowej Hemoglobinurii</w:t>
            </w: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b w:val="1"/>
          <w:u w:val="none" w:color="000000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▪ Administratorem Pani/Pana danych osobowych jest Narodowy Fundusz Zdrowia z siedzibą w Warszawie, ul. Rakowiecka 26/30, 02-528 Warszawa.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Każdy wniosek dotyczący realizacji z w/w praw zostanie rozpatrzony zgodnie z RODO.</w:t>
      </w:r>
    </w:p>
    <w:p>
      <w:pPr>
        <w:spacing w:before="120" w:after="120" w:beforeAutospacing="0" w:afterAutospacing="0"/>
        <w:ind w:firstLine="227"/>
        <w:jc w:val="both"/>
        <w:rPr>
          <w:u w:val="none" w:color="000000"/>
        </w:rPr>
      </w:pPr>
      <w:r>
        <w:rPr>
          <w:u w:val="none" w:color="000000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u w:val="none" w:color="000000"/>
        </w:rPr>
      </w:pPr>
      <w:r>
        <w:rPr>
          <w:u w:val="none" w:color="000000"/>
        </w:rPr>
        <w:t>Pozostałe informacje dotyczące przetwarzania danych osobowych przez NFZ, dostępne są na stronie internetowej:</w:t>
      </w:r>
      <w:r>
        <w:rPr>
          <w:u w:val="none" w:color="000000"/>
          <w:lang w:val="pl-PL" w:bidi="pl-PL" w:eastAsia="pl-PL"/>
        </w:rPr>
        <w:t xml:space="preserve"> </w:t>
      </w:r>
      <w:r>
        <w:rPr>
          <w:u w:val="none" w:color="000000"/>
        </w:rPr>
        <w:t>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z nocną napadową hemoglobinurią (PNH)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oraz zobowiązuję się do przyjmowania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 xml:space="preserve">Data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i w:val="1"/>
                <w:sz w:val="20"/>
              </w:rPr>
            </w:pPr>
          </w:p>
          <w:p>
            <w:pPr>
              <w:spacing w:before="0" w:after="0" w:beforeAutospacing="0" w:afterAutospacing="0"/>
              <w:jc w:val="center"/>
              <w:rPr>
                <w:i w:val="1"/>
                <w:sz w:val="20"/>
              </w:rPr>
            </w:pPr>
          </w:p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  <w:rPr>
                <w:i w:val="1"/>
                <w:sz w:val="20"/>
              </w:rPr>
            </w:pPr>
          </w:p>
          <w:p>
            <w:pPr>
              <w:jc w:val="center"/>
            </w:pPr>
            <w:r>
              <w:rPr>
                <w:i w:val="1"/>
                <w:sz w:val="20"/>
              </w:rP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2025-10-17T13:36:43Z</dcterms:created>
  <cp:lastModifiedBy>Popiołek Tomasz</cp:lastModifiedBy>
  <dcterms:modified xsi:type="dcterms:W3CDTF">2025-10-31T11:24:38Z</dcterms:modified>
  <cp:revision>25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