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CC909F9" Type="http://schemas.openxmlformats.org/officeDocument/2006/relationships/officeDocument" Target="/word/document.xml" /><Relationship Id="coreR4CC909F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tisagenlecleucelem w programie lekowym Leczenie chorych na ostrą białaczkę limfoblastyczną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68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5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kwalifikacja do leczenia tisagenlecleucelem lub breksukabtagenem autoleucelu chorych na nawrotową/oporną ostrą białaczkę limfoblastyczną 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5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ostrą białaczkę limfoblastyczną</w:t>
            </w:r>
          </w:p>
        </w:tc>
      </w:tr>
      <w:tr>
        <w:tblPrEx>
          <w:tblW w:w="5000" w:type="pct"/>
          <w:tblLayout w:type="fixed"/>
        </w:tblPrEx>
        <w:trPr>
          <w:trHeight w:hRule="atLeast" w:val="437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5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C91.0 – ostra białaczka limfoblastyczna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5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581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5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ostrą białaczkę limfoblastyczną</w:t>
            </w:r>
          </w:p>
        </w:tc>
      </w:tr>
      <w:tr>
        <w:tblPrEx>
          <w:tblW w:w="5000" w:type="pct"/>
          <w:tblLayout w:type="fixed"/>
        </w:tblPrEx>
        <w:trPr>
          <w:trHeight w:hRule="atLeast" w:val="581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5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Szpital Uniwersytecki nr 1 im. dr. Antoniego Jurasza</w:t>
            </w:r>
          </w:p>
          <w:p>
            <w:pPr>
              <w:jc w:val="left"/>
            </w:pPr>
            <w:r>
              <w:rPr>
                <w:sz w:val="20"/>
              </w:rPr>
              <w:t>85-094 Bydgoszcz</w:t>
            </w:r>
          </w:p>
          <w:p>
            <w:pPr>
              <w:jc w:val="left"/>
            </w:pPr>
            <w:r>
              <w:rPr>
                <w:sz w:val="20"/>
              </w:rPr>
              <w:t>ul. Marii Skłodowskiej-Curie 9</w:t>
            </w:r>
          </w:p>
        </w:tc>
      </w:tr>
      <w:tr>
        <w:tblPrEx>
          <w:tblW w:w="5000" w:type="pct"/>
          <w:tblLayout w:type="fixed"/>
        </w:tblPrEx>
        <w:trPr>
          <w:trHeight w:hRule="atLeast" w:val="54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5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794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5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elektronicznego systemu monitorowania programów lekowych </w:t>
            </w:r>
          </w:p>
        </w:tc>
      </w:tr>
      <w:tr>
        <w:tblPrEx>
          <w:tblW w:w="5000" w:type="pct"/>
          <w:tblLayout w:type="fixed"/>
        </w:tblPrEx>
        <w:trPr>
          <w:trHeight w:hRule="atLeast" w:val="55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5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2025-07-31T09:06:34Z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