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802" w:rsidRDefault="00A157A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128/2024/DSOZ</w:t>
      </w:r>
      <w:r>
        <w:br/>
        <w:t>Prezesa Narodowego Funduszu Zdrowia</w:t>
      </w:r>
      <w:r>
        <w:br/>
        <w:t>z dnia 23 grudnia 2024 r.</w:t>
      </w:r>
    </w:p>
    <w:p w:rsidR="00AC5802" w:rsidRDefault="00A157AE">
      <w:pPr>
        <w:keepNext/>
        <w:spacing w:after="480"/>
        <w:jc w:val="center"/>
      </w:pPr>
      <w:r>
        <w:rPr>
          <w:b/>
        </w:rPr>
        <w:t>SZCZEGÓŁOWE ZASADY REALIZACJI PROGRAMU PILOTAŻOWEGO "PROFILAKTYKA 40 PLUS”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</w:rPr>
        <w:t>Opis problemu zdrowotnego</w:t>
      </w:r>
    </w:p>
    <w:p w:rsidR="00AC5802" w:rsidRDefault="00A157A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Stan zagrożenia epidemicznego, a następnie stan</w:t>
      </w:r>
      <w:r>
        <w:rPr>
          <w:color w:val="000000"/>
          <w:u w:color="000000"/>
        </w:rPr>
        <w:t xml:space="preserve"> epidemii SARS-CoV-2 i związana z nim zmiana stylu życia, wpłynęły przede wszystkim na ograniczenie aktywności fizycznej oraz wzrost natężenia stresu, potęgując przy tym ryzyko zachorowania na najczęstsze choroby tzw. cywilizacyjne, np. choroby układu krąż</w:t>
      </w:r>
      <w:r>
        <w:rPr>
          <w:color w:val="000000"/>
          <w:u w:color="000000"/>
        </w:rPr>
        <w:t>enia czy choroby metaboliczne. Ponadto epidemia SARS-CoV-2, nakładając się na epidemię przewlekłych chorób niezakaźnych, powoduje efekt negatywnej synergii. Stanowiąc obecnie największe wyzwanie, niesie za sobą również negatywne skutki zdrowotne także w ob</w:t>
      </w:r>
      <w:r>
        <w:rPr>
          <w:color w:val="000000"/>
          <w:u w:color="000000"/>
        </w:rPr>
        <w:t>szarze chorób niezakaźnych i zdrowia psychicznego (z uwagi na społeczną izolację, niepewność, obawy przed zachorowaniem, stres).</w:t>
      </w:r>
    </w:p>
    <w:p w:rsidR="00AC5802" w:rsidRDefault="00A157A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Dominującymi przyczynami zgonów mieszkańców Rzeczypospolitej Polskiej wciąż pozostają choroby układu krążenia i nowotwory. Chor</w:t>
      </w:r>
      <w:r>
        <w:rPr>
          <w:color w:val="000000"/>
          <w:u w:color="000000"/>
        </w:rPr>
        <w:t>oby układu krążenia są w Rzeczypospolitej Polskiej główną przyczyną zgonów (ok. 43,3% ogółu zgonów), a zaraz po nich plasują się nowotwory (ok. 25,8% ogółu zgonów w 2016 r.). Wśród Polaków prawdopodobieństwo zgonu spowodowanego przez choroby układu krążeni</w:t>
      </w:r>
      <w:r>
        <w:rPr>
          <w:color w:val="000000"/>
          <w:u w:color="000000"/>
        </w:rPr>
        <w:t>a jest około 60% wyższe niż u przeciętnego mieszkańca UE.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Cel programu</w:t>
      </w:r>
    </w:p>
    <w:p w:rsidR="00AC5802" w:rsidRDefault="00A157A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Celem programu jest powszechne objęcie świadczeniobiorców od 40. roku życia profilaktyczną diagnostyką laboratoryjną w zakresie najczęściej występujących problemów zdrowotnych wobec </w:t>
      </w:r>
      <w:r>
        <w:rPr>
          <w:color w:val="000000"/>
          <w:u w:color="000000"/>
        </w:rPr>
        <w:t>obniżonej zgłaszalności do lekarzy w 2020 r. w związku z epidemią. Dzięki badaniom profilaktycznym można wykryć chorobę bardzo wcześnie i uniknąć długotrwałego, a czasem nieskutecznego leczenia, które jest konsekwencją zbyt późnej diagnozy.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>Tryb zgłosze</w:t>
      </w:r>
      <w:r>
        <w:rPr>
          <w:b/>
          <w:color w:val="000000"/>
          <w:u w:color="000000"/>
        </w:rPr>
        <w:t>nia się do programu</w:t>
      </w:r>
    </w:p>
    <w:p w:rsidR="00AC5802" w:rsidRDefault="00A157A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Podstawą wykonania badań w programie jest e-skierowanie, które generują świadczeniobiorcy, po udzieleniu odpowiedzi na pytania w kwestionariuszu oceny ryzyka, zwanego dalej "Ankieta 40 PLUS", za pośrednictwem Internetowego Konta Pacjent</w:t>
      </w:r>
      <w:r>
        <w:rPr>
          <w:color w:val="000000"/>
          <w:u w:color="000000"/>
        </w:rPr>
        <w:t>a (IKP) lub w inny sposób określony w rozporządzeniu MZ.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color="000000"/>
        </w:rPr>
        <w:t>Populacja, do której skierowany jest program</w:t>
      </w:r>
    </w:p>
    <w:p w:rsidR="00AC5802" w:rsidRDefault="00A157AE">
      <w:pPr>
        <w:spacing w:before="120" w:after="120"/>
        <w:ind w:firstLine="227"/>
        <w:rPr>
          <w:color w:val="AA0002"/>
          <w:u w:val="single" w:color="AA0002"/>
        </w:rPr>
      </w:pPr>
      <w:r>
        <w:rPr>
          <w:color w:val="000000"/>
          <w:u w:color="000000"/>
        </w:rPr>
        <w:t>Do programu kwalifikują się świadczeniobiorcy, którzy w roku realizacji programu pilotażowego ukończą lub ukończyli 40. rok życia (uwzględniany jest ro</w:t>
      </w:r>
      <w:r>
        <w:rPr>
          <w:color w:val="000000"/>
          <w:u w:color="000000"/>
        </w:rPr>
        <w:t>k urodzenia). Świadczeniobiorca ma prawo do  skorzystania po raz kolejny ze świadczeń w ramach tego programu po upływie co najmniej 12 miesięcy</w:t>
      </w:r>
      <w:r>
        <w:rPr>
          <w:color w:val="000000"/>
        </w:rPr>
        <w:t xml:space="preserve"> od udzielenia poprzedniego świadczenia opieki zdrowotne</w:t>
      </w:r>
      <w:r>
        <w:rPr>
          <w:color w:val="000000"/>
        </w:rPr>
        <w:t xml:space="preserve">j. </w:t>
      </w:r>
    </w:p>
    <w:p w:rsidR="00AC5802" w:rsidRDefault="00A157AE">
      <w:pPr>
        <w:spacing w:before="120" w:after="120"/>
        <w:rPr>
          <w:color w:val="000000"/>
          <w:u w:color="000000"/>
        </w:rPr>
      </w:pPr>
      <w:r>
        <w:rPr>
          <w:color w:val="000000"/>
          <w:u w:color="000000"/>
        </w:rPr>
        <w:t>Kwalifikacja do poszczególnych badań następuje zgodni</w:t>
      </w:r>
      <w:r>
        <w:rPr>
          <w:color w:val="000000"/>
          <w:u w:color="000000"/>
        </w:rPr>
        <w:t>e z kryteriami opisanymi w załączniku nr 1 do rozporządzenia MZ.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color="000000"/>
        </w:rPr>
        <w:t xml:space="preserve">Warunki finansowania świadczeń </w:t>
      </w:r>
    </w:p>
    <w:p w:rsidR="00AC5802" w:rsidRDefault="00A157A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posiada gotowość do przyjmowania do realizacji skierowania w systemie, o którym mowa w art. 7 ust. 1  ustawy o systemie. Po udzieleniu świa</w:t>
      </w:r>
      <w:r>
        <w:rPr>
          <w:color w:val="000000"/>
          <w:u w:color="000000"/>
        </w:rPr>
        <w:t xml:space="preserve">dczenia, realizator programu pilotażowego dokonuje zmiany informacji o statusie skierowania </w:t>
      </w:r>
      <w:r>
        <w:rPr>
          <w:color w:val="000000"/>
          <w:u w:color="000000"/>
        </w:rPr>
        <w:t xml:space="preserve">na "zakończony" </w:t>
      </w:r>
      <w:r>
        <w:rPr>
          <w:color w:val="000000"/>
          <w:u w:color="000000"/>
        </w:rPr>
        <w:t>w systemie o którym mowa powyżej.</w:t>
      </w:r>
    </w:p>
    <w:p w:rsidR="00AC5802" w:rsidRDefault="00A157A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Każdy świadczeniodawca, z którym Fundusz zawarł umowę na realizację programu pilotażowego "Profilaktyka 40 PLUS", </w:t>
      </w:r>
      <w:r>
        <w:rPr>
          <w:color w:val="000000"/>
          <w:u w:color="000000"/>
        </w:rPr>
        <w:t xml:space="preserve">zobowiązany jest posiadać gotowość przekazywania do Systemu Informacji Medycznej, o którym mowa w art.10 ust.1  ustawy o systemie, danych dotyczących dokumentacji medycznej, w zakresie wyników badań laboratoryjnych wraz z opisem, w ramach danych zdarzenia </w:t>
      </w:r>
      <w:r>
        <w:rPr>
          <w:color w:val="000000"/>
          <w:u w:color="000000"/>
        </w:rPr>
        <w:t xml:space="preserve">medycznego, o których mowa w rozporządzeniu Ministra Zdrowia z dnia 26 czerwca 2020 r. w sprawie szczegółowego zakresu danych zdarzenia medycznego przetwarzanego w systemie informacji oraz sposobu i terminów przekazywania tych danych do Systemu Informacji </w:t>
      </w:r>
      <w:r>
        <w:rPr>
          <w:color w:val="000000"/>
          <w:u w:color="000000"/>
        </w:rPr>
        <w:t>Medycznej (Dz. U. z 2023 r. poz. 738).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6. </w:t>
      </w:r>
      <w:r>
        <w:rPr>
          <w:b/>
          <w:color w:val="000000"/>
          <w:u w:color="000000"/>
        </w:rPr>
        <w:t xml:space="preserve">Realizacja 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Świadczenia w programie pilotażowym udzielane są na podstawie e-skierowania. Aby otrzymać e- skierowanie świadczeniobiorca loguje się na IKP i udziela odpowiedzi w Ankiecie 40 PLUS. Na podstawie udzi</w:t>
      </w:r>
      <w:r>
        <w:rPr>
          <w:color w:val="000000"/>
          <w:u w:color="000000"/>
        </w:rPr>
        <w:t>elonych odpowiedzi system generuje zalecenia dotyczące stylu życia oraz wskazuje jakie badania profilaktyczne należy wykonać celem oceny stanu zdrowia. Na tym etapie pacjent ma możliwość wyrazić chęć uczestnictwa w programie profilaktycznym "Profilaktyka 4</w:t>
      </w:r>
      <w:r>
        <w:rPr>
          <w:color w:val="000000"/>
          <w:u w:color="000000"/>
        </w:rPr>
        <w:t>0 PLUS", poprzez wygenerowanie  e-skierowania. W przypadku braku dostępu do IKP - również w inny sposób określony w rozporządzeniu MZ.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Pacjent wybiera świadczeniodawcę realizującego program pilotażowy z listy umieszczonej na IKP lub poprzez wyszukiwarkę</w:t>
      </w:r>
      <w:r>
        <w:rPr>
          <w:color w:val="000000"/>
          <w:u w:color="000000"/>
        </w:rPr>
        <w:t xml:space="preserve"> "Gdzie Się Leczyć". Do miejsca udzielania świadczeń pacjent jest zobowiązany dostarczyć materiał do badania, tj. mocz lub kał, o ile takie badanie zostało mu zlecone.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Badania uporządkowano w pakietach:</w:t>
      </w:r>
    </w:p>
    <w:p w:rsidR="00AC5802" w:rsidRDefault="00A157A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>Pakiet badań diagnostycznych dla kobiet</w:t>
      </w:r>
      <w:r>
        <w:rPr>
          <w:color w:val="000000"/>
          <w:u w:color="000000"/>
        </w:rPr>
        <w:t xml:space="preserve"> zwiera bad</w:t>
      </w:r>
      <w:r>
        <w:rPr>
          <w:color w:val="000000"/>
          <w:u w:color="000000"/>
        </w:rPr>
        <w:t>anie biochemiczne, w tym: morfologię krwi obwodowej ze wzorem odsetkowym i płytkami krwi, stężenie cholesterolu całkowitego albo kontrolny profil lipidowy, stężenie glukozy we krwi, poziom kreatyniny we krwi, próby wątrobowe ASPAT, ALAT, GGTP, badanie ogól</w:t>
      </w:r>
      <w:r>
        <w:rPr>
          <w:color w:val="000000"/>
          <w:u w:color="000000"/>
        </w:rPr>
        <w:t xml:space="preserve">ne moczu, poziom kwasu moczowy we krwi oraz krew utajoną w kale – metodą immunochemiczną. </w:t>
      </w:r>
    </w:p>
    <w:p w:rsidR="00AC5802" w:rsidRDefault="00A157A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 xml:space="preserve">Pakiet badań diagnostycznych dla mężczyzn </w:t>
      </w:r>
      <w:r>
        <w:rPr>
          <w:color w:val="000000"/>
          <w:u w:color="000000"/>
        </w:rPr>
        <w:t>zawiera ww. badania poszerzone o PSA (badanie w kierunku raka prostaty).</w:t>
      </w:r>
    </w:p>
    <w:p w:rsidR="00AC5802" w:rsidRDefault="00A157AE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val="single" w:color="000000"/>
        </w:rPr>
        <w:t>Pakiet badań diagnostycznych wspólny</w:t>
      </w:r>
      <w:r>
        <w:rPr>
          <w:color w:val="000000"/>
          <w:u w:color="000000"/>
        </w:rPr>
        <w:t xml:space="preserve"> zawiera pomia</w:t>
      </w:r>
      <w:r>
        <w:rPr>
          <w:color w:val="000000"/>
          <w:u w:color="000000"/>
        </w:rPr>
        <w:t>r ciśnienia tętniczego, pomiar masy ciała, wzrostu, obwodu w pasie oraz obliczenie wskaźnika masy ciała (BMI).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Świadczeniodawca wykonuje procedury diagnostyczne wchodzące w skład pakietu badań diagnostycznych wspólnych (obligatoryjnie wszystkie wymienio</w:t>
      </w:r>
      <w:r>
        <w:rPr>
          <w:color w:val="000000"/>
          <w:u w:color="000000"/>
        </w:rPr>
        <w:t>ne w rozporządzeniu) oraz przyjmuje/pobiera materiał do badań wskazanych w e-skierowaniu.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 xml:space="preserve">Personel uprawniony do realizacji świadczeń w programie pilotażowym oraz wymagania co do pomieszczeń oraz wyposażenia wskazane są w załączniku nr 1 do </w:t>
      </w:r>
      <w:r>
        <w:rPr>
          <w:color w:val="000000"/>
          <w:u w:color="000000"/>
        </w:rPr>
        <w:t>rozporządzenia MZ.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Po uzyskaniu wyników przekazuje do Systemu Informacji Medycznej, o którym mowa w art. 10 ust. 1 ustawy o systemie, danych dotyczących dokumentacji medycznej, w zakresie wyników badań laboratoryjnych wraz z opisem, w ramach danych zdar</w:t>
      </w:r>
      <w:r>
        <w:rPr>
          <w:color w:val="000000"/>
          <w:u w:color="000000"/>
        </w:rPr>
        <w:t>zenia medycznego, o których mowa w rozporządzeniu Ministra Zdrowia z dnia 26 czerwca 2020 r. w sprawie szczegółowego zakresu danych zdarzenia medycznego przetwarzanego w systemie informacji oraz sposobu i terminów przekazywania tych danych do Systemu Infor</w:t>
      </w:r>
      <w:r>
        <w:rPr>
          <w:color w:val="000000"/>
          <w:u w:color="000000"/>
        </w:rPr>
        <w:t>macji medycznej.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Świadczeniobiorca ma dostęp do wyników na Internetowym Koncie Pacjenta, w przypadku braku dostępu do IKP, pacjent otrzymuje wyniki od świadczeniodawcy, który zawarł umowę na udzielanie świadczeń w zakresie "Program Profilaktyki 40 PLUS"</w:t>
      </w:r>
      <w:r>
        <w:rPr>
          <w:color w:val="000000"/>
          <w:u w:color="000000"/>
        </w:rPr>
        <w:t xml:space="preserve"> lub w placówce podstawowej opieki zdrowotnej, do której złożył deklarację wyboru, o której mowa w art. 10 ust. 1 ustawy o podstawowej opiece zdrowotnej.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Świadczeniodawca jest zobowiązany do umieszczenia w widocznym miejscu informacji o:</w:t>
      </w:r>
    </w:p>
    <w:p w:rsidR="00AC5802" w:rsidRDefault="00A157A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godzinach ud</w:t>
      </w:r>
      <w:r>
        <w:rPr>
          <w:color w:val="000000"/>
          <w:u w:color="000000"/>
        </w:rPr>
        <w:t>zielania świadczenia w miejscu udzielania świadczeń;</w:t>
      </w:r>
    </w:p>
    <w:p w:rsidR="00AC5802" w:rsidRDefault="00A157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godzinach, w których pacjent może odebrać wyniki badań.</w:t>
      </w:r>
    </w:p>
    <w:p w:rsidR="00AC5802" w:rsidRDefault="00A157AE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</w:rPr>
        <w:t>7</w:t>
      </w:r>
      <w:r>
        <w:t>. </w:t>
      </w:r>
      <w:r>
        <w:rPr>
          <w:b/>
          <w:color w:val="000000"/>
          <w:u w:color="000000"/>
        </w:rPr>
        <w:t>Wskaźniki monitorowania oczekiwanych efektów</w:t>
      </w:r>
    </w:p>
    <w:p w:rsidR="00AC5802" w:rsidRDefault="00A157AE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Wskaźnikami realizacji programu pilotażowego są:</w:t>
      </w:r>
    </w:p>
    <w:p w:rsidR="00AC5802" w:rsidRDefault="00A157AE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liczbę kobiet i mężczyzn objętych pilotażem </w:t>
      </w:r>
      <w:r>
        <w:rPr>
          <w:color w:val="000000"/>
          <w:u w:color="000000"/>
        </w:rPr>
        <w:t>w stosunku do populacji osób uprawnionych do udziału w pilotażu;</w:t>
      </w:r>
    </w:p>
    <w:p w:rsidR="00AC5802" w:rsidRDefault="00A157AE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liczba świadczeniodawców, którzy złożyli wniosek o zawarcie umowy na realizację programu pilotażowego, oraz liczba świadczeniodawców, którzy zostali realizatorami programu pilotażowego;</w:t>
      </w:r>
    </w:p>
    <w:p w:rsidR="00AC5802" w:rsidRDefault="00A157AE">
      <w:pPr>
        <w:spacing w:before="120" w:after="120"/>
        <w:ind w:left="340" w:hanging="227"/>
        <w:rPr>
          <w:color w:val="000000"/>
          <w:u w:color="000000"/>
        </w:rPr>
      </w:pPr>
      <w:r>
        <w:t>3)</w:t>
      </w:r>
      <w:r>
        <w:t> </w:t>
      </w:r>
      <w:r>
        <w:rPr>
          <w:color w:val="000000"/>
          <w:u w:color="000000"/>
        </w:rPr>
        <w:t>liczba i kompletność wypełnionych ankiet;</w:t>
      </w:r>
    </w:p>
    <w:p w:rsidR="00AC5802" w:rsidRDefault="00A157AE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informacja o zrealizowanych badaniach diagnostycznych;</w:t>
      </w:r>
    </w:p>
    <w:p w:rsidR="00AC5802" w:rsidRDefault="00A157AE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wartość środków finansowych poniesionych/sprawozdanych i rozliczonych w ramach programu pilotażowego w stosunku do środków finansowych planowanych na re</w:t>
      </w:r>
      <w:r>
        <w:rPr>
          <w:color w:val="000000"/>
          <w:u w:color="000000"/>
        </w:rPr>
        <w:t>alizację programu.</w:t>
      </w:r>
    </w:p>
    <w:sectPr w:rsidR="00AC5802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802"/>
    <w:rsid w:val="00A157AE"/>
    <w:rsid w:val="00AC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FCF20-FB8A-4925-92CA-5FBD1CFE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1061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9 grudnia 2024 r.</vt:lpstr>
    </vt:vector>
  </TitlesOfParts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9 grudnia 2024 r.</dc:title>
  <dc:subject>zmieniające zarządzenie w sprawie umów o realizację programu pilotażowego „Profilaktyka 40 PLUS”</dc:subject>
  <dc:creator>malgorzata.skulska</dc:creator>
  <cp:lastModifiedBy>Skierka Monika</cp:lastModifiedBy>
  <cp:revision>2</cp:revision>
  <dcterms:created xsi:type="dcterms:W3CDTF">2024-12-24T08:08:00Z</dcterms:created>
  <dcterms:modified xsi:type="dcterms:W3CDTF">2024-12-24T08:08:00Z</dcterms:modified>
  <cp:category>Akt prawny</cp:category>
</cp:coreProperties>
</file>