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C63" w:rsidRDefault="007E20B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17 do zarządzenia Nr 9/2025/DGL</w:t>
      </w:r>
      <w:r>
        <w:br/>
        <w:t>Prezesa Narodowego Funduszu Zdrowia</w:t>
      </w:r>
      <w:r>
        <w:br/>
        <w:t>z dnia 30 stycznia 2025 r.</w:t>
      </w:r>
    </w:p>
    <w:p w:rsidR="003D0C63" w:rsidRDefault="007E20BF">
      <w:pPr>
        <w:keepNext/>
        <w:spacing w:after="480"/>
        <w:jc w:val="center"/>
      </w:pPr>
      <w:r>
        <w:rPr>
          <w:b/>
        </w:rPr>
        <w:t>Zakres działania zespołu koordynacyjnego odpowiedzialnego za kwalifikację i weryfikację skuteczności leczenia nocnej napadowej hemoglobinurii (PNH)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2581"/>
        <w:gridCol w:w="7006"/>
      </w:tblGrid>
      <w:tr w:rsidR="003D0C63">
        <w:trPr>
          <w:trHeight w:val="168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3D0C63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Kwalifikacja i weryfikacja skuteczności leczenia nocnej napadowej hemoglobinurii</w:t>
            </w:r>
          </w:p>
        </w:tc>
      </w:tr>
      <w:tr w:rsidR="003D0C63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zakres świadczenia – programy lekowe objęte weryfikacją leczenia przez zespół koordynacyjny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 xml:space="preserve">Leczenie chorych z </w:t>
            </w:r>
            <w:r>
              <w:rPr>
                <w:sz w:val="20"/>
              </w:rPr>
              <w:t>nocną napadową hemoglobinurią (PNH)</w:t>
            </w:r>
          </w:p>
        </w:tc>
      </w:tr>
      <w:tr w:rsidR="003D0C63">
        <w:trPr>
          <w:trHeight w:val="437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D 59.5 - Nocna napadowa hemoglobinuria</w:t>
            </w:r>
          </w:p>
        </w:tc>
      </w:tr>
      <w:tr w:rsidR="003D0C63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3D0C63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 xml:space="preserve">oznaczenie zespołu koordynacyjnego odpowiadającego za kwalifikację i </w:t>
            </w:r>
            <w:r>
              <w:rPr>
                <w:sz w:val="20"/>
              </w:rPr>
              <w:t>weryfikację leczenia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Zespół Koordynacyjny do Spraw Leczenia Nocnej Napadowej Hemoglobinurii</w:t>
            </w:r>
          </w:p>
        </w:tc>
      </w:tr>
      <w:tr w:rsidR="003D0C63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Instytut Matki i Dziecka</w:t>
            </w:r>
          </w:p>
          <w:p w:rsidR="003D0C63" w:rsidRDefault="007E20BF">
            <w:pPr>
              <w:jc w:val="left"/>
            </w:pPr>
            <w:r>
              <w:rPr>
                <w:sz w:val="20"/>
              </w:rPr>
              <w:t>01-211 Warszawa</w:t>
            </w:r>
          </w:p>
          <w:p w:rsidR="003D0C63" w:rsidRDefault="007E20BF">
            <w:pPr>
              <w:jc w:val="left"/>
            </w:pPr>
            <w:r>
              <w:rPr>
                <w:sz w:val="20"/>
              </w:rPr>
              <w:t>ul. Kasprzaka 17a</w:t>
            </w:r>
          </w:p>
        </w:tc>
      </w:tr>
      <w:tr w:rsidR="003D0C63">
        <w:trPr>
          <w:trHeight w:val="16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lek</w:t>
            </w:r>
            <w:r>
              <w:rPr>
                <w:sz w:val="20"/>
              </w:rPr>
              <w:t>arze specjaliści z dziedzin medycyny właściwych dla programu lekowego</w:t>
            </w:r>
          </w:p>
        </w:tc>
      </w:tr>
      <w:tr w:rsidR="003D0C63">
        <w:trPr>
          <w:trHeight w:val="112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zasady weryfikacji skuteczności leczenia chorych wymagających udzielenia świadczenia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1) kryteria kwalifikacji i weryfikacji zostały określone w opisie programu lekowego;</w:t>
            </w:r>
          </w:p>
          <w:p w:rsidR="003D0C63" w:rsidRDefault="007E20BF">
            <w:pPr>
              <w:jc w:val="left"/>
            </w:pPr>
            <w:r>
              <w:rPr>
                <w:sz w:val="20"/>
              </w:rPr>
              <w:t xml:space="preserve">2) </w:t>
            </w:r>
            <w:r>
              <w:rPr>
                <w:sz w:val="20"/>
              </w:rPr>
              <w:t xml:space="preserve">kwalifikacja i weryfikacja skuteczności leczenia </w:t>
            </w:r>
            <w:proofErr w:type="spellStart"/>
            <w:r>
              <w:rPr>
                <w:sz w:val="20"/>
              </w:rPr>
              <w:t>ekulizumabem</w:t>
            </w:r>
            <w:proofErr w:type="spellEnd"/>
            <w:r>
              <w:rPr>
                <w:sz w:val="20"/>
              </w:rPr>
              <w:t xml:space="preserve"> w zakresie nocnej napadowej hemoglobinurii (PNH) dokonywana jest w oparciu o wnioski przedłożone za pośrednictwem elektronicznego systemu monitorowania programów lekowych</w:t>
            </w:r>
          </w:p>
        </w:tc>
      </w:tr>
      <w:tr w:rsidR="003D0C63">
        <w:trPr>
          <w:trHeight w:val="552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specyfikacja zasad</w:t>
            </w:r>
            <w:r>
              <w:rPr>
                <w:sz w:val="20"/>
              </w:rPr>
              <w:t>niczych procedur medycznych wykonywanych w trakcie udzielania świadczenia (wg ICD 9 CM)</w:t>
            </w:r>
          </w:p>
        </w:tc>
        <w:tc>
          <w:tcPr>
            <w:tcW w:w="7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C63" w:rsidRDefault="007E20BF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3D0C63" w:rsidRDefault="003D0C63"/>
    <w:sectPr w:rsidR="003D0C6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63"/>
    <w:rsid w:val="003D0C63"/>
    <w:rsid w:val="007E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30EE7E-41B9-42FB-9C94-D951E919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2025-01-31T07:17:00Z</dcterms:created>
  <dcterms:modified xsi:type="dcterms:W3CDTF">2025-01-31T07:17:00Z</dcterms:modified>
  <cp:category>Akt prawny</cp:category>
</cp:coreProperties>
</file>