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98F" w:rsidRDefault="0068132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5 do zarządzenia Nr 9/2025/DGL</w:t>
      </w:r>
      <w:r>
        <w:br/>
        <w:t>Prezesa Narodowego Funduszu Zdrowia</w:t>
      </w:r>
      <w:r>
        <w:br/>
        <w:t>z dnia 30 stycznia 2025 r.</w:t>
      </w:r>
    </w:p>
    <w:p w:rsidR="000B798F" w:rsidRDefault="00681323">
      <w:pPr>
        <w:keepNext/>
        <w:spacing w:after="480"/>
        <w:jc w:val="center"/>
      </w:pPr>
      <w:r>
        <w:rPr>
          <w:b/>
        </w:rPr>
        <w:t>Katalog współczynników korygujących stosowanych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574"/>
        <w:gridCol w:w="2114"/>
        <w:gridCol w:w="1590"/>
        <w:gridCol w:w="2265"/>
        <w:gridCol w:w="1560"/>
        <w:gridCol w:w="2295"/>
        <w:gridCol w:w="1590"/>
        <w:gridCol w:w="1530"/>
        <w:gridCol w:w="1350"/>
        <w:gridCol w:w="1380"/>
        <w:gridCol w:w="1380"/>
        <w:gridCol w:w="2700"/>
      </w:tblGrid>
      <w:tr w:rsidR="000B798F">
        <w:trPr>
          <w:trHeight w:val="390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program lekowy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 xml:space="preserve">produkt rozliczeniowy z katalogu ryczałtów, w odniesieniu </w:t>
            </w:r>
            <w:r>
              <w:rPr>
                <w:b/>
                <w:sz w:val="18"/>
              </w:rPr>
              <w:t>do którego współczynnik korygujący może zostać zastosowany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świadczenie z katalogu świadczeń, w odniesieniu do którego współczynnik korygujący może zostać zastosowany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substancja czynna</w:t>
            </w:r>
          </w:p>
        </w:tc>
        <w:tc>
          <w:tcPr>
            <w:tcW w:w="2730" w:type="dxa"/>
            <w:gridSpan w:val="2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próg kosztowy rozliczenia substancji czynnej uprawniający do zastosowani</w:t>
            </w:r>
            <w:r>
              <w:rPr>
                <w:b/>
                <w:sz w:val="18"/>
              </w:rPr>
              <w:t>a współczynnika korygującego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wartość współczynnika korygującego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uwagi</w:t>
            </w:r>
          </w:p>
        </w:tc>
      </w:tr>
      <w:tr w:rsidR="000B798F">
        <w:trPr>
          <w:trHeight w:val="315"/>
        </w:trPr>
        <w:tc>
          <w:tcPr>
            <w:tcW w:w="660" w:type="dxa"/>
            <w:vMerge/>
            <w:tcBorders>
              <w:top w:val="single" w:sz="4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kod świadczenia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kod produktu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nazwa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kod świadczenia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nazwa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kod produktu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nazwa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wartość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sz w:val="18"/>
              </w:rPr>
              <w:t>jednostka</w:t>
            </w:r>
          </w:p>
        </w:tc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</w:pPr>
          </w:p>
        </w:tc>
        <w:tc>
          <w:tcPr>
            <w:tcW w:w="27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</w:pPr>
          </w:p>
        </w:tc>
      </w:tr>
      <w:tr w:rsidR="000B798F">
        <w:trPr>
          <w:trHeight w:val="31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</w:pPr>
          </w:p>
        </w:tc>
        <w:tc>
          <w:tcPr>
            <w:tcW w:w="3690" w:type="dxa"/>
            <w:gridSpan w:val="2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i/>
                <w:sz w:val="18"/>
              </w:rPr>
              <w:t>1</w:t>
            </w:r>
          </w:p>
        </w:tc>
        <w:tc>
          <w:tcPr>
            <w:tcW w:w="385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i/>
                <w:sz w:val="18"/>
              </w:rPr>
              <w:t>2</w:t>
            </w:r>
          </w:p>
        </w:tc>
        <w:tc>
          <w:tcPr>
            <w:tcW w:w="385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i/>
                <w:sz w:val="18"/>
              </w:rPr>
              <w:t>3</w:t>
            </w:r>
          </w:p>
        </w:tc>
        <w:tc>
          <w:tcPr>
            <w:tcW w:w="312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i/>
                <w:sz w:val="18"/>
              </w:rPr>
              <w:t>4</w:t>
            </w:r>
          </w:p>
        </w:tc>
        <w:tc>
          <w:tcPr>
            <w:tcW w:w="273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i/>
                <w:sz w:val="18"/>
              </w:rPr>
              <w:t>5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i/>
                <w:sz w:val="18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b/>
                <w:i/>
                <w:sz w:val="18"/>
              </w:rPr>
              <w:t>7</w:t>
            </w:r>
          </w:p>
        </w:tc>
      </w:tr>
      <w:tr w:rsidR="000B798F">
        <w:trPr>
          <w:trHeight w:val="225"/>
        </w:trPr>
        <w:tc>
          <w:tcPr>
            <w:tcW w:w="6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5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sz w:val="18"/>
              </w:rPr>
              <w:t>03.0000.331.02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sz w:val="18"/>
              </w:rPr>
              <w:t>5.08.08.0000038</w:t>
            </w:r>
          </w:p>
        </w:tc>
        <w:tc>
          <w:tcPr>
            <w:tcW w:w="22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sz w:val="18"/>
              </w:rPr>
              <w:t>5.08.09.0000008</w:t>
            </w:r>
          </w:p>
        </w:tc>
        <w:tc>
          <w:tcPr>
            <w:tcW w:w="15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proofErr w:type="spellStart"/>
            <w:r>
              <w:rPr>
                <w:sz w:val="18"/>
              </w:rPr>
              <w:t>bosentanum</w:t>
            </w:r>
            <w:proofErr w:type="spellEnd"/>
          </w:p>
        </w:tc>
        <w:tc>
          <w:tcPr>
            <w:tcW w:w="13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B798F" w:rsidRDefault="00681323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br/>
              <w:t>1. Współczynnik korygujący może zostać zastosowany w odniesieniu do produktu rozliczeniowego wskazanego w kolumnie 2 lub świ</w:t>
            </w:r>
            <w:r>
              <w:rPr>
                <w:sz w:val="18"/>
              </w:rPr>
              <w:t>adczenia wskazanego w kolumnie 3, rozliczanego w związku z terapią pacjentów, u których stosowana jest substancja czynna, o której mowa kolumnie 4, spełniająca warunek kosztowy określony w kolumnie 5 w przypadku każdego z podań lub wydań leku danemu pacjen</w:t>
            </w:r>
            <w:r>
              <w:rPr>
                <w:sz w:val="18"/>
              </w:rPr>
              <w:t>towi w danym okresie.</w:t>
            </w:r>
          </w:p>
          <w:p w:rsidR="000B798F" w:rsidRDefault="000B798F">
            <w:pPr>
              <w:jc w:val="left"/>
              <w:rPr>
                <w:color w:val="000000"/>
                <w:u w:color="000000"/>
              </w:rPr>
            </w:pPr>
          </w:p>
          <w:p w:rsidR="000B798F" w:rsidRDefault="00681323">
            <w:pPr>
              <w:jc w:val="left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2. Współczynnik korygujący stosuje się do rozliczenia ułamkowej części wartości produktu, o którym mowa w kolumnie 2, przysługującej za dany okres lub do świadczeń, o których mowa w kolumnie 3, wykonanych i sprawozdanych za dany </w:t>
            </w:r>
            <w:r>
              <w:rPr>
                <w:color w:val="000000"/>
                <w:sz w:val="18"/>
                <w:u w:color="000000"/>
              </w:rPr>
              <w:t>okres, związanych z podaniem substancji czynnej spełniającej warunek kosztowy.</w:t>
            </w:r>
          </w:p>
        </w:tc>
      </w:tr>
      <w:tr w:rsidR="000B798F">
        <w:trPr>
          <w:trHeight w:val="480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B798F" w:rsidRDefault="000B798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B798F" w:rsidRDefault="000B798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B798F" w:rsidRDefault="000B798F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6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8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6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0,0371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15"/>
        </w:trPr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03.0000.331.02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tętniczego nadciśnienia płucnego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5.08.08.0000038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tętniczego nadciśnienia płucnego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5.08.09.0000066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treprostinil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48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wykonaniem </w:t>
            </w:r>
            <w:r>
              <w:rPr>
                <w:sz w:val="18"/>
              </w:rPr>
              <w:t>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0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6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124,6252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720"/>
        </w:trPr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03.0000.339.02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</w:t>
            </w:r>
            <w:r>
              <w:rPr>
                <w:sz w:val="18"/>
              </w:rPr>
              <w:t>pacjenta w trybie ambulatoryjnym związane z wykonaniem programu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5.08.09.0000011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cinacalcetum</w:t>
            </w:r>
            <w:proofErr w:type="spellEnd"/>
          </w:p>
        </w:tc>
        <w:tc>
          <w:tcPr>
            <w:tcW w:w="13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40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0,19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95"/>
        </w:trPr>
        <w:tc>
          <w:tcPr>
            <w:tcW w:w="6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 xml:space="preserve">pacjentów z chorobą </w:t>
            </w:r>
            <w:proofErr w:type="spellStart"/>
            <w:r>
              <w:rPr>
                <w:sz w:val="18"/>
              </w:rPr>
              <w:t>Leśniowskiego-Crohna</w:t>
            </w:r>
            <w:proofErr w:type="spellEnd"/>
            <w:r>
              <w:rPr>
                <w:sz w:val="18"/>
              </w:rPr>
              <w:t> 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pacjentów z chorobą </w:t>
            </w:r>
            <w:proofErr w:type="spellStart"/>
            <w:r>
              <w:rPr>
                <w:sz w:val="18"/>
              </w:rPr>
              <w:t>Leśniowskiego-Crohna</w:t>
            </w:r>
            <w:proofErr w:type="spellEnd"/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infliximabum</w:t>
            </w:r>
            <w:proofErr w:type="spellEnd"/>
          </w:p>
        </w:tc>
        <w:tc>
          <w:tcPr>
            <w:tcW w:w="13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480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5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52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435"/>
        </w:trPr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5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infliximabum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8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wykonaniem </w:t>
            </w:r>
            <w:r>
              <w:rPr>
                <w:sz w:val="18"/>
              </w:rPr>
              <w:t>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7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7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40"/>
        </w:trPr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infliximabum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6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8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8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70"/>
        </w:trPr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infliximabum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1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5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1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95"/>
        </w:trPr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infliximabum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48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2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6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72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w </w:t>
            </w:r>
            <w:r>
              <w:rPr>
                <w:sz w:val="18"/>
              </w:rPr>
              <w:t>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3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raz na 3 miesiące w trybie ambulatoryjnym związane z </w:t>
            </w:r>
            <w:r>
              <w:rPr>
                <w:sz w:val="18"/>
              </w:rPr>
              <w:lastRenderedPageBreak/>
              <w:t>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480"/>
        </w:trPr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03.0000.355.02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>wrzodziejącym zapaleniem jelita grubego (WZJG)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5.08.09.0000033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infliximabum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50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2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00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2,4977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495"/>
        </w:trPr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aktywną postacią reumatoidalnego zapalenia stawów i młodzieńczego idiopatyczneg</w:t>
            </w:r>
            <w:r>
              <w:rPr>
                <w:sz w:val="18"/>
              </w:rPr>
              <w:t>o zapalenia stawów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etanerceptum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3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w trybie jednodniowym związana z wykonaniem </w:t>
            </w:r>
            <w:r>
              <w:rPr>
                <w:sz w:val="18"/>
              </w:rPr>
              <w:t>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0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4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</w:t>
            </w:r>
            <w:r>
              <w:rPr>
                <w:sz w:val="18"/>
              </w:rPr>
              <w:t xml:space="preserve">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00"/>
        </w:trPr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łuszczycowym zapaleniem stawów (ŁZS)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etanerceptum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72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72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6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15"/>
        </w:trPr>
        <w:tc>
          <w:tcPr>
            <w:tcW w:w="6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</w:t>
            </w:r>
            <w:r>
              <w:rPr>
                <w:sz w:val="18"/>
              </w:rPr>
              <w:t>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etanerceptum</w:t>
            </w:r>
            <w:proofErr w:type="spellEnd"/>
          </w:p>
        </w:tc>
        <w:tc>
          <w:tcPr>
            <w:tcW w:w="13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6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5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2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umiarkowaną i ciężką postacią łuszczycy plackowatej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5.08.09.0000018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etanerceptum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48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4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6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w trybie </w:t>
            </w:r>
            <w:r>
              <w:rPr>
                <w:sz w:val="18"/>
              </w:rPr>
              <w:t>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9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raz na 3 miesiące w trybie </w:t>
            </w:r>
            <w:r>
              <w:rPr>
                <w:sz w:val="18"/>
              </w:rPr>
              <w:t>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3,6613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60"/>
        </w:trPr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03.0000.327.02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przewlekłych zakażeń płuc u świadczeniobiorców z mukowiscydozą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5.08.08.0000034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przewlekłych zakażeń płuc u świadczeniobiorców </w:t>
            </w:r>
            <w:r>
              <w:rPr>
                <w:sz w:val="18"/>
              </w:rPr>
              <w:t>z mukowiscydozą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5.08.09.0000061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tobramycinum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1,70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2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0,0472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15"/>
        </w:trPr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03.0000.332.02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chorobą </w:t>
            </w:r>
            <w:proofErr w:type="spellStart"/>
            <w:r>
              <w:rPr>
                <w:sz w:val="18"/>
              </w:rPr>
              <w:t>Leśniowskiego-Crohna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5.08.08.0000040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pacjentów z chorobą </w:t>
            </w:r>
            <w:proofErr w:type="spellStart"/>
            <w:r>
              <w:rPr>
                <w:sz w:val="18"/>
              </w:rPr>
              <w:t>Leśniowskiego-Crohna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adalimumabum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1,17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48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6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2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w trybie </w:t>
            </w:r>
            <w:r>
              <w:rPr>
                <w:sz w:val="18"/>
              </w:rPr>
              <w:t>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630"/>
        </w:trPr>
        <w:tc>
          <w:tcPr>
            <w:tcW w:w="6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5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aktywną postacią reumatoidalnego zapalenia stawów i młodzieńczego idiopatycznego zapalenia stawów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5.08.08.0000042</w:t>
            </w:r>
          </w:p>
        </w:tc>
        <w:tc>
          <w:tcPr>
            <w:tcW w:w="22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</w:t>
            </w:r>
            <w:r>
              <w:rPr>
                <w:sz w:val="18"/>
              </w:rPr>
              <w:t>chorych z aktywną postacią reumatoidalnego zapalenia stawów i młodzieńczego idiopatycznego zapalenia stawów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adalimumabum</w:t>
            </w:r>
            <w:proofErr w:type="spellEnd"/>
          </w:p>
        </w:tc>
        <w:tc>
          <w:tcPr>
            <w:tcW w:w="13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 u dzieci 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10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20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2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75"/>
        </w:trPr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</w:t>
            </w:r>
            <w:r>
              <w:rPr>
                <w:sz w:val="18"/>
              </w:rPr>
              <w:t>chorych z łuszczycowym zapaleniem stawów (ŁZS)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adalimumabum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8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2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</w:t>
            </w:r>
            <w:r>
              <w:rPr>
                <w:sz w:val="18"/>
              </w:rPr>
              <w:t xml:space="preserve">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6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70"/>
        </w:trPr>
        <w:tc>
          <w:tcPr>
            <w:tcW w:w="6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5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</w:t>
            </w:r>
            <w:r>
              <w:rPr>
                <w:sz w:val="18"/>
              </w:rPr>
              <w:t>aktywną postacią zesztywniającego zapalenia stawów kręgosłupa (ZZSK)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5.08.08.0000045</w:t>
            </w:r>
          </w:p>
        </w:tc>
        <w:tc>
          <w:tcPr>
            <w:tcW w:w="22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adalimumabum</w:t>
            </w:r>
            <w:proofErr w:type="spellEnd"/>
          </w:p>
        </w:tc>
        <w:tc>
          <w:tcPr>
            <w:tcW w:w="13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5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2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480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60"/>
        </w:trPr>
        <w:tc>
          <w:tcPr>
            <w:tcW w:w="6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5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</w:t>
            </w:r>
          </w:p>
        </w:tc>
        <w:tc>
          <w:tcPr>
            <w:tcW w:w="21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umiarkowaną i ciężką postacią łuszczycy plackowatej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5.08.08.0000054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Diagnostyka w programie leczenia </w:t>
            </w:r>
            <w:r>
              <w:rPr>
                <w:sz w:val="18"/>
              </w:rPr>
              <w:t>chorych z umiarkowaną i ciężką postacią łuszczycy plackowatej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5.08.09.0000001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adalimumabum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48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9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</w:t>
            </w:r>
            <w:r>
              <w:rPr>
                <w:sz w:val="18"/>
              </w:rPr>
              <w:t>wykonaniem programu u dzieci 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5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285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w trybie ambulatoryjnym związane z wykonaniem </w:t>
            </w:r>
            <w:r>
              <w:rPr>
                <w:sz w:val="18"/>
              </w:rPr>
              <w:t>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180"/>
        </w:trPr>
        <w:tc>
          <w:tcPr>
            <w:tcW w:w="6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5.08.07.0000026 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5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3,5509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1,40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75"/>
        </w:trPr>
        <w:tc>
          <w:tcPr>
            <w:tcW w:w="6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03.0000.375.02</w:t>
            </w:r>
          </w:p>
        </w:tc>
        <w:tc>
          <w:tcPr>
            <w:tcW w:w="21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układowymi zapaleniami naczyń</w:t>
            </w: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5.08.08.0000273</w:t>
            </w:r>
          </w:p>
        </w:tc>
        <w:tc>
          <w:tcPr>
            <w:tcW w:w="22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pacjentów z układowymi zapaleniami naczyń - 1 rok terapii (</w:t>
            </w:r>
            <w:proofErr w:type="spellStart"/>
            <w:r>
              <w:rPr>
                <w:sz w:val="18"/>
              </w:rPr>
              <w:t>rytuksymab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5.08.09.0000054</w:t>
            </w:r>
          </w:p>
        </w:tc>
        <w:tc>
          <w:tcPr>
            <w:tcW w:w="15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18"/>
              </w:rPr>
              <w:t>rytuksymabum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7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5.08.08.0000274</w:t>
            </w:r>
          </w:p>
        </w:tc>
        <w:tc>
          <w:tcPr>
            <w:tcW w:w="22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Diagnostyka w programie leczenia pacjentów z układowymi zapaleniami naczyń - 2 i</w:t>
            </w:r>
            <w:r>
              <w:rPr>
                <w:sz w:val="18"/>
              </w:rPr>
              <w:t xml:space="preserve"> kolejny rok terapii (</w:t>
            </w:r>
            <w:proofErr w:type="spellStart"/>
            <w:r>
              <w:rPr>
                <w:sz w:val="18"/>
              </w:rPr>
              <w:t>rytuksymab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56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9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00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  <w:tr w:rsidR="000B798F">
        <w:trPr>
          <w:trHeight w:val="315"/>
        </w:trPr>
        <w:tc>
          <w:tcPr>
            <w:tcW w:w="6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5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3,2823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zł/mg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681323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1,80</w:t>
            </w:r>
          </w:p>
        </w:tc>
        <w:tc>
          <w:tcPr>
            <w:tcW w:w="27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B798F" w:rsidRDefault="000B798F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0B798F" w:rsidRDefault="000B798F"/>
    <w:sectPr w:rsidR="000B798F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98F"/>
    <w:rsid w:val="000B798F"/>
    <w:rsid w:val="00681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CC4A0B-C792-426D-88CE-2CB46C1E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2078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2025-01-31T07:11:00Z</dcterms:created>
  <dcterms:modified xsi:type="dcterms:W3CDTF">2025-01-31T07:11:00Z</dcterms:modified>
  <cp:category>Akt prawny</cp:category>
</cp:coreProperties>
</file>